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 xml:space="preserve">gerçek veya tüzel kişileri veya bunların oluşturdukları </w:t>
      </w:r>
      <w:bookmarkStart w:id="0" w:name="_GoBack"/>
      <w:bookmarkEnd w:id="0"/>
      <w:r w:rsidR="005140F0" w:rsidRPr="00032DB2">
        <w:t>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rsidR="00CF02B9" w:rsidRDefault="00CF02B9" w:rsidP="00CF02B9">
      <w:pPr>
        <w:suppressAutoHyphens w:val="0"/>
        <w:ind w:firstLine="426"/>
        <w:jc w:val="both"/>
        <w:rPr>
          <w:rFonts w:eastAsia="Calibri"/>
          <w:bCs/>
          <w:lang w:eastAsia="en-US"/>
        </w:rPr>
      </w:pPr>
    </w:p>
    <w:p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7B083D" w:rsidRPr="007B083D">
        <w:rPr>
          <w:rFonts w:eastAsia="Calibri"/>
          <w:bCs/>
          <w:lang w:eastAsia="en-US"/>
        </w:rPr>
        <w:t>………</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173996">
        <w:rPr>
          <w:rFonts w:eastAsia="Calibri"/>
          <w:bCs/>
          <w:lang w:eastAsia="en-US"/>
        </w:rPr>
        <w:t>2</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1" w:name="_Toc187830912"/>
      <w:bookmarkStart w:id="2"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1"/>
      <w:bookmarkEnd w:id="2"/>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05175E" w:rsidRDefault="005A5977" w:rsidP="00E379E0">
            <w:pPr>
              <w:rPr>
                <w:b/>
              </w:rPr>
            </w:pPr>
            <w:r>
              <w:rPr>
                <w:b/>
              </w:rPr>
              <w:t>Yararlanıcı Adı</w:t>
            </w:r>
          </w:p>
        </w:tc>
        <w:tc>
          <w:tcPr>
            <w:tcW w:w="8080" w:type="dxa"/>
            <w:gridSpan w:val="2"/>
            <w:shd w:val="clear" w:color="auto" w:fill="auto"/>
            <w:vAlign w:val="center"/>
          </w:tcPr>
          <w:p w:rsidR="005A5977" w:rsidRPr="00CC78B8" w:rsidRDefault="005A5977" w:rsidP="00E379E0">
            <w:r w:rsidRPr="00CC78B8">
              <w:t>Eğitim/danışmanlık talep eden kurum/kuruluşun adı yazılacaktır.</w:t>
            </w:r>
          </w:p>
        </w:tc>
      </w:tr>
      <w:tr w:rsidR="005A5977" w:rsidRPr="00CC78B8" w:rsidTr="00CF02B9">
        <w:trPr>
          <w:trHeight w:val="348"/>
        </w:trPr>
        <w:tc>
          <w:tcPr>
            <w:tcW w:w="1843" w:type="dxa"/>
            <w:shd w:val="clear" w:color="auto" w:fill="D9D9D9"/>
            <w:vAlign w:val="center"/>
          </w:tcPr>
          <w:p w:rsidR="005A5977" w:rsidRPr="0005175E" w:rsidRDefault="005A5977" w:rsidP="00E379E0">
            <w:pPr>
              <w:rPr>
                <w:b/>
              </w:rPr>
            </w:pPr>
            <w:r>
              <w:rPr>
                <w:b/>
              </w:rPr>
              <w:t>Hizmet Yeri</w:t>
            </w:r>
          </w:p>
        </w:tc>
        <w:tc>
          <w:tcPr>
            <w:tcW w:w="8080" w:type="dxa"/>
            <w:gridSpan w:val="2"/>
            <w:shd w:val="clear" w:color="auto" w:fill="auto"/>
            <w:vAlign w:val="center"/>
          </w:tcPr>
          <w:p w:rsidR="005A5977" w:rsidRPr="00CC78B8" w:rsidRDefault="005A5977" w:rsidP="00E379E0">
            <w:r w:rsidRPr="00CC78B8">
              <w:t>Eğitim/danışmanlık hizmetinin alınacağı salonun adı ve açı</w:t>
            </w:r>
            <w:r w:rsidR="00CF02B9">
              <w:t xml:space="preserve">k adresi </w:t>
            </w:r>
            <w:r w:rsidRPr="00CC78B8">
              <w:t>yazılacaktır.</w:t>
            </w:r>
          </w:p>
        </w:tc>
      </w:tr>
      <w:tr w:rsidR="005A5977" w:rsidRPr="00CC78B8" w:rsidTr="00CF02B9">
        <w:tc>
          <w:tcPr>
            <w:tcW w:w="1843" w:type="dxa"/>
            <w:shd w:val="clear" w:color="auto" w:fill="D9D9D9"/>
            <w:vAlign w:val="center"/>
          </w:tcPr>
          <w:p w:rsidR="005A5977" w:rsidRPr="0005175E" w:rsidRDefault="005A5977" w:rsidP="00E379E0">
            <w:pPr>
              <w:rPr>
                <w:b/>
              </w:rPr>
            </w:pPr>
            <w:r>
              <w:rPr>
                <w:b/>
              </w:rPr>
              <w:t>Hizmet Konusu</w:t>
            </w:r>
          </w:p>
        </w:tc>
        <w:tc>
          <w:tcPr>
            <w:tcW w:w="8080" w:type="dxa"/>
            <w:gridSpan w:val="2"/>
            <w:shd w:val="clear" w:color="auto" w:fill="auto"/>
            <w:vAlign w:val="center"/>
          </w:tcPr>
          <w:p w:rsidR="005A5977" w:rsidRPr="00CC78B8" w:rsidRDefault="005A5977" w:rsidP="00E379E0">
            <w:r w:rsidRPr="00CC78B8">
              <w:t>Faaliyet kapsamında sağlanacak eğitim/danışmanlık hizmetinin tam adı yazılacaktır.</w:t>
            </w:r>
          </w:p>
        </w:tc>
      </w:tr>
      <w:tr w:rsidR="005A5977" w:rsidRPr="0005175E" w:rsidTr="00CF02B9">
        <w:trPr>
          <w:trHeight w:hRule="exact" w:val="567"/>
        </w:trPr>
        <w:tc>
          <w:tcPr>
            <w:tcW w:w="1843" w:type="dxa"/>
            <w:shd w:val="clear" w:color="auto" w:fill="D9D9D9"/>
            <w:vAlign w:val="center"/>
          </w:tcPr>
          <w:p w:rsidR="005A5977" w:rsidRPr="0005175E" w:rsidRDefault="005A5977" w:rsidP="005A5977">
            <w:pPr>
              <w:rPr>
                <w:b/>
              </w:rPr>
            </w:pPr>
            <w:r>
              <w:rPr>
                <w:b/>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534EB5" w:rsidTr="00E379E0">
              <w:tc>
                <w:tcPr>
                  <w:tcW w:w="955" w:type="dxa"/>
                  <w:shd w:val="clear" w:color="auto" w:fill="D9D9D9"/>
                </w:tcPr>
                <w:p w:rsidR="005A5977" w:rsidRPr="00534EB5" w:rsidRDefault="005A5977" w:rsidP="00E379E0">
                  <w:pPr>
                    <w:rPr>
                      <w:b/>
                    </w:rPr>
                  </w:pPr>
                  <w:r w:rsidRPr="00534EB5">
                    <w:rPr>
                      <w:b/>
                    </w:rPr>
                    <w:t>Eğitim</w:t>
                  </w:r>
                </w:p>
              </w:tc>
              <w:tc>
                <w:tcPr>
                  <w:tcW w:w="491" w:type="dxa"/>
                  <w:tcBorders>
                    <w:right w:val="single" w:sz="4" w:space="0" w:color="auto"/>
                  </w:tcBorders>
                  <w:shd w:val="clear" w:color="auto" w:fill="auto"/>
                </w:tcPr>
                <w:p w:rsidR="005A5977" w:rsidRPr="00534EB5" w:rsidRDefault="005A5977" w:rsidP="00E379E0"/>
              </w:tc>
              <w:tc>
                <w:tcPr>
                  <w:tcW w:w="709" w:type="dxa"/>
                  <w:tcBorders>
                    <w:top w:val="nil"/>
                    <w:left w:val="single" w:sz="4" w:space="0" w:color="auto"/>
                    <w:bottom w:val="nil"/>
                    <w:right w:val="single" w:sz="4" w:space="0" w:color="auto"/>
                  </w:tcBorders>
                  <w:shd w:val="clear" w:color="auto" w:fill="auto"/>
                </w:tcPr>
                <w:p w:rsidR="005A5977" w:rsidRPr="00534EB5" w:rsidRDefault="005A5977" w:rsidP="00E379E0"/>
              </w:tc>
              <w:tc>
                <w:tcPr>
                  <w:tcW w:w="1559" w:type="dxa"/>
                  <w:tcBorders>
                    <w:left w:val="single" w:sz="4" w:space="0" w:color="auto"/>
                  </w:tcBorders>
                  <w:shd w:val="clear" w:color="auto" w:fill="D9D9D9"/>
                </w:tcPr>
                <w:p w:rsidR="005A5977" w:rsidRPr="00534EB5" w:rsidRDefault="005A5977" w:rsidP="00E379E0">
                  <w:pPr>
                    <w:rPr>
                      <w:b/>
                    </w:rPr>
                  </w:pPr>
                  <w:r w:rsidRPr="00534EB5">
                    <w:rPr>
                      <w:b/>
                    </w:rPr>
                    <w:t>Danışmanlık</w:t>
                  </w:r>
                </w:p>
              </w:tc>
              <w:tc>
                <w:tcPr>
                  <w:tcW w:w="426" w:type="dxa"/>
                  <w:tcBorders>
                    <w:right w:val="single" w:sz="4" w:space="0" w:color="auto"/>
                  </w:tcBorders>
                  <w:shd w:val="clear" w:color="auto" w:fill="auto"/>
                </w:tcPr>
                <w:p w:rsidR="005A5977" w:rsidRPr="00534EB5" w:rsidRDefault="005A5977" w:rsidP="00E379E0"/>
              </w:tc>
              <w:tc>
                <w:tcPr>
                  <w:tcW w:w="708" w:type="dxa"/>
                  <w:tcBorders>
                    <w:top w:val="nil"/>
                    <w:left w:val="single" w:sz="4" w:space="0" w:color="auto"/>
                    <w:bottom w:val="nil"/>
                    <w:right w:val="single" w:sz="4" w:space="0" w:color="auto"/>
                  </w:tcBorders>
                  <w:shd w:val="clear" w:color="auto" w:fill="auto"/>
                </w:tcPr>
                <w:p w:rsidR="005A5977" w:rsidRPr="00534EB5" w:rsidRDefault="005A5977" w:rsidP="00E379E0"/>
              </w:tc>
              <w:tc>
                <w:tcPr>
                  <w:tcW w:w="2552" w:type="dxa"/>
                  <w:tcBorders>
                    <w:left w:val="single" w:sz="4" w:space="0" w:color="auto"/>
                  </w:tcBorders>
                  <w:shd w:val="clear" w:color="auto" w:fill="D9D9D9"/>
                </w:tcPr>
                <w:p w:rsidR="005A5977" w:rsidRPr="00534EB5" w:rsidRDefault="005A5977" w:rsidP="00E379E0">
                  <w:pPr>
                    <w:rPr>
                      <w:b/>
                    </w:rPr>
                  </w:pPr>
                  <w:r w:rsidRPr="00534EB5">
                    <w:rPr>
                      <w:b/>
                    </w:rPr>
                    <w:t>Eğitim + Danışmanlık</w:t>
                  </w:r>
                </w:p>
              </w:tc>
              <w:tc>
                <w:tcPr>
                  <w:tcW w:w="454" w:type="dxa"/>
                  <w:shd w:val="clear" w:color="auto" w:fill="auto"/>
                </w:tcPr>
                <w:p w:rsidR="005A5977" w:rsidRPr="00534EB5" w:rsidRDefault="005A5977" w:rsidP="00E379E0"/>
              </w:tc>
            </w:tr>
          </w:tbl>
          <w:p w:rsidR="005A5977" w:rsidRPr="0005175E" w:rsidRDefault="005A5977" w:rsidP="00E379E0">
            <w:pPr>
              <w:rPr>
                <w:highlight w:val="yellow"/>
              </w:rPr>
            </w:pPr>
          </w:p>
        </w:tc>
      </w:tr>
      <w:tr w:rsidR="005A5977" w:rsidRPr="00CC78B8" w:rsidTr="00CF02B9">
        <w:tc>
          <w:tcPr>
            <w:tcW w:w="1843" w:type="dxa"/>
            <w:vMerge w:val="restart"/>
            <w:shd w:val="clear" w:color="auto" w:fill="D9D9D9"/>
            <w:vAlign w:val="center"/>
          </w:tcPr>
          <w:p w:rsidR="005A5977" w:rsidRPr="0005175E" w:rsidRDefault="005A5977" w:rsidP="00E379E0">
            <w:pPr>
              <w:rPr>
                <w:b/>
              </w:rPr>
            </w:pPr>
            <w:r w:rsidRPr="0005175E">
              <w:rPr>
                <w:b/>
              </w:rPr>
              <w:t>Hizmet Süresi</w:t>
            </w:r>
          </w:p>
        </w:tc>
        <w:tc>
          <w:tcPr>
            <w:tcW w:w="1800" w:type="dxa"/>
            <w:shd w:val="clear" w:color="auto" w:fill="D9D9D9"/>
            <w:vAlign w:val="center"/>
          </w:tcPr>
          <w:p w:rsidR="005A5977" w:rsidRPr="006D292B" w:rsidRDefault="005A5977" w:rsidP="00E379E0">
            <w:pPr>
              <w:rPr>
                <w:b/>
              </w:rPr>
            </w:pPr>
            <w:r w:rsidRPr="006D292B">
              <w:rPr>
                <w:b/>
              </w:rPr>
              <w:t>Günlük Saat</w:t>
            </w:r>
          </w:p>
        </w:tc>
        <w:tc>
          <w:tcPr>
            <w:tcW w:w="6280" w:type="dxa"/>
            <w:shd w:val="clear" w:color="auto" w:fill="auto"/>
            <w:vAlign w:val="center"/>
          </w:tcPr>
          <w:p w:rsidR="005A5977" w:rsidRPr="00CC78B8" w:rsidRDefault="005A5977" w:rsidP="00E379E0">
            <w:r w:rsidRPr="00CC78B8">
              <w:t>Günde kaç saat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Sayısı</w:t>
            </w:r>
          </w:p>
        </w:tc>
        <w:tc>
          <w:tcPr>
            <w:tcW w:w="6280" w:type="dxa"/>
            <w:shd w:val="clear" w:color="auto" w:fill="auto"/>
            <w:vAlign w:val="center"/>
          </w:tcPr>
          <w:p w:rsidR="005A5977" w:rsidRPr="00CC78B8" w:rsidRDefault="005A5977" w:rsidP="00E379E0">
            <w:r w:rsidRPr="00CC78B8">
              <w:t>Toplam kaç gün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Tercihleri</w:t>
            </w:r>
          </w:p>
        </w:tc>
        <w:tc>
          <w:tcPr>
            <w:tcW w:w="6280" w:type="dxa"/>
            <w:shd w:val="clear" w:color="auto" w:fill="auto"/>
            <w:vAlign w:val="center"/>
          </w:tcPr>
          <w:p w:rsidR="005A5977" w:rsidRPr="00CC78B8" w:rsidRDefault="005A5977" w:rsidP="00E379E0">
            <w:r w:rsidRPr="00CC78B8">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Toplam Süre</w:t>
            </w:r>
          </w:p>
        </w:tc>
        <w:tc>
          <w:tcPr>
            <w:tcW w:w="6280" w:type="dxa"/>
            <w:shd w:val="clear" w:color="auto" w:fill="auto"/>
            <w:vAlign w:val="center"/>
          </w:tcPr>
          <w:p w:rsidR="005A5977" w:rsidRDefault="005A5977" w:rsidP="00E379E0">
            <w:r w:rsidRPr="00CC78B8">
              <w:t>Günlük Saat x Gün Sayısı</w:t>
            </w:r>
          </w:p>
          <w:p w:rsidR="005A5977" w:rsidRPr="00CC78B8" w:rsidRDefault="005A5977" w:rsidP="005A5977">
            <w:r>
              <w:t>Eğitim faaliyetleri için günlük saat azami 8 olmalıdır.</w:t>
            </w:r>
          </w:p>
        </w:tc>
      </w:tr>
      <w:tr w:rsidR="005A5977" w:rsidRPr="00CC78B8" w:rsidTr="00CF02B9">
        <w:trPr>
          <w:trHeight w:hRule="exact" w:val="1985"/>
        </w:trPr>
        <w:tc>
          <w:tcPr>
            <w:tcW w:w="1843" w:type="dxa"/>
            <w:shd w:val="clear" w:color="auto" w:fill="D9D9D9"/>
            <w:vAlign w:val="center"/>
          </w:tcPr>
          <w:p w:rsidR="005A5977" w:rsidRPr="0005175E" w:rsidRDefault="005A5977" w:rsidP="00E379E0">
            <w:pPr>
              <w:rPr>
                <w:b/>
              </w:rPr>
            </w:pPr>
            <w:r>
              <w:rPr>
                <w:b/>
              </w:rPr>
              <w:t xml:space="preserve">Öngörülen </w:t>
            </w:r>
            <w:r w:rsidRPr="0005175E">
              <w:rPr>
                <w:b/>
              </w:rPr>
              <w:t>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rsidTr="00E379E0">
              <w:tc>
                <w:tcPr>
                  <w:tcW w:w="2013" w:type="dxa"/>
                  <w:shd w:val="clear" w:color="auto" w:fill="D9D9D9"/>
                </w:tcPr>
                <w:p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rsidR="005A5977" w:rsidRPr="00534EB5" w:rsidRDefault="005A5977" w:rsidP="00E379E0"/>
              </w:tc>
              <w:tc>
                <w:tcPr>
                  <w:tcW w:w="993" w:type="dxa"/>
                  <w:tcBorders>
                    <w:top w:val="nil"/>
                    <w:left w:val="single" w:sz="4" w:space="0" w:color="auto"/>
                    <w:bottom w:val="nil"/>
                    <w:right w:val="single" w:sz="4" w:space="0" w:color="auto"/>
                  </w:tcBorders>
                  <w:shd w:val="clear" w:color="auto" w:fill="auto"/>
                </w:tcPr>
                <w:p w:rsidR="005A5977" w:rsidRPr="00534EB5" w:rsidRDefault="005A5977" w:rsidP="00E379E0"/>
              </w:tc>
              <w:tc>
                <w:tcPr>
                  <w:tcW w:w="3827" w:type="dxa"/>
                  <w:tcBorders>
                    <w:left w:val="single" w:sz="4" w:space="0" w:color="auto"/>
                  </w:tcBorders>
                  <w:shd w:val="clear" w:color="auto" w:fill="D9D9D9"/>
                </w:tcPr>
                <w:p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rsidR="005A5977" w:rsidRPr="00534EB5" w:rsidRDefault="005A5977" w:rsidP="00E379E0"/>
              </w:tc>
            </w:tr>
          </w:tbl>
          <w:p w:rsidR="005A5977" w:rsidRPr="00CC78B8" w:rsidRDefault="005A5977" w:rsidP="005A5977">
            <w:r w:rsidRPr="00CC78B8">
              <w:t xml:space="preserve">Eğitim/danışmanlık </w:t>
            </w:r>
            <w:r>
              <w:t xml:space="preserve">faaliyetine iştirak edecek </w:t>
            </w:r>
            <w:r w:rsidRPr="00CC78B8">
              <w:t>kişi</w:t>
            </w:r>
            <w:r>
              <w:t xml:space="preserve"> ve kurum kuruluş ya da işletme</w:t>
            </w:r>
            <w:r w:rsidRPr="00CC78B8">
              <w:t xml:space="preserve"> sayısı yazılacaktır.</w:t>
            </w:r>
            <w:r>
              <w:t xml:space="preserve"> </w:t>
            </w: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3F297E" w:rsidRDefault="003F297E" w:rsidP="00D7558C">
      <w:pPr>
        <w:spacing w:before="240"/>
        <w:jc w:val="both"/>
        <w:rPr>
          <w:b/>
        </w:rPr>
      </w:pPr>
    </w:p>
    <w:p w:rsidR="00CC08A6" w:rsidRDefault="00CC08A6" w:rsidP="00D7558C">
      <w:pPr>
        <w:spacing w:before="240"/>
        <w:jc w:val="both"/>
        <w:rPr>
          <w:b/>
        </w:rPr>
      </w:pP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(Örn: Güney Ege Kalkınma Ajansı Teknik Destek Programı kapsamında …/…/…. tarihlerinde düzenlenen ….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r>
              <w:rPr>
                <w:rFonts w:cstheme="minorHAnsi"/>
              </w:rPr>
              <w:t>….</w:t>
            </w:r>
          </w:p>
        </w:tc>
        <w:tc>
          <w:tcPr>
            <w:tcW w:w="4361" w:type="pct"/>
            <w:vAlign w:val="center"/>
          </w:tcPr>
          <w:p w:rsidR="00E669BC" w:rsidRPr="00D45EFB" w:rsidRDefault="00E669BC"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Danışmanlık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D539E" w:rsidRPr="0079177B" w:rsidRDefault="009D539E"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ekipman (deney setleri, renkli kartlar, renkli kalem, yapıştırıcı vb.), yüklenici tarafından sağlanacaktır. </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Ayrıca, çevrimiçi olarak düzenlenen eğitimlere ve danışmanlıklara ait kanıtlayıcı belgelerin de (eğitimin her gününe ait ekran görüntüsü vb.) Ajansa sunulması gerekmektedir. Yüklenici, eğitimde kullanacağı tüm materyalleri hazırlamak ve eğitim öncesinde Yararlanıcıya iletmekle sorumludur. Ajansın bu konuda hiçbir yükümlülüğü yoktur.</w:t>
      </w:r>
    </w:p>
    <w:p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B9" w:rsidRDefault="002F1DB9">
      <w:r>
        <w:separator/>
      </w:r>
    </w:p>
  </w:endnote>
  <w:endnote w:type="continuationSeparator" w:id="0">
    <w:p w:rsidR="002F1DB9" w:rsidRDefault="002F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F9425E">
          <w:rPr>
            <w:noProof/>
          </w:rPr>
          <w:t>1</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B9" w:rsidRDefault="002F1DB9">
      <w:r>
        <w:separator/>
      </w:r>
    </w:p>
  </w:footnote>
  <w:footnote w:type="continuationSeparator" w:id="0">
    <w:p w:rsidR="002F1DB9" w:rsidRDefault="002F1DB9">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5E" w:rsidRDefault="00CF02B9">
    <w:pPr>
      <w:pStyle w:val="HeaderOdd"/>
      <w:rPr>
        <w:rFonts w:ascii="Arial" w:hAnsi="Arial" w:cs="Arial"/>
        <w:szCs w:val="20"/>
      </w:rPr>
    </w:pPr>
    <w:r w:rsidRPr="00032DB2">
      <w:rPr>
        <w:noProof/>
        <w:sz w:val="44"/>
        <w:lang w:eastAsia="tr-TR"/>
      </w:rPr>
      <w:drawing>
        <wp:anchor distT="0" distB="0" distL="114300" distR="114300" simplePos="0" relativeHeight="251659776"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173996">
      <w:rPr>
        <w:rFonts w:ascii="Arial" w:hAnsi="Arial" w:cs="Arial"/>
        <w:szCs w:val="20"/>
      </w:rPr>
      <w:t>2</w:t>
    </w:r>
    <w:r w:rsidRPr="00CF02B9">
      <w:rPr>
        <w:rFonts w:ascii="Arial" w:hAnsi="Arial" w:cs="Arial"/>
        <w:szCs w:val="20"/>
      </w:rPr>
      <w:t xml:space="preserve"> YILI</w:t>
    </w:r>
    <w:r w:rsidR="00F9425E">
      <w:rPr>
        <w:rFonts w:ascii="Arial" w:hAnsi="Arial" w:cs="Arial"/>
        <w:szCs w:val="20"/>
      </w:rPr>
      <w:t xml:space="preserve"> </w:t>
    </w:r>
    <w:r w:rsidR="00F9425E" w:rsidRPr="00F9425E">
      <w:rPr>
        <w:rFonts w:ascii="Arial" w:hAnsi="Arial" w:cs="Arial"/>
        <w:szCs w:val="20"/>
      </w:rPr>
      <w:t xml:space="preserve">ÜRETİCİ ÖRGÜTLERİNİN GÜÇLENDİRİLMESİ </w:t>
    </w:r>
  </w:p>
  <w:p w:rsidR="00F9425E" w:rsidRDefault="00F9425E">
    <w:pPr>
      <w:pStyle w:val="HeaderOdd"/>
      <w:rPr>
        <w:rFonts w:ascii="Arial" w:hAnsi="Arial" w:cs="Arial"/>
        <w:szCs w:val="20"/>
      </w:rPr>
    </w:pPr>
    <w:r w:rsidRPr="00F9425E">
      <w:rPr>
        <w:rFonts w:ascii="Arial" w:hAnsi="Arial" w:cs="Arial"/>
        <w:szCs w:val="20"/>
      </w:rPr>
      <w:t>YÖNETİM DANIŞMANLIĞI</w:t>
    </w:r>
    <w:r w:rsidR="00CF02B9" w:rsidRPr="00CF02B9">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TEKNİK DESTEK PROGRAMI</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1DB9"/>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25E"/>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DC0ECF"/>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A7C8-8030-41E2-A4C5-E75E72AA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Dilek Gocmen</cp:lastModifiedBy>
  <cp:revision>2</cp:revision>
  <cp:lastPrinted>2014-03-31T05:48:00Z</cp:lastPrinted>
  <dcterms:created xsi:type="dcterms:W3CDTF">2022-09-12T14:09:00Z</dcterms:created>
  <dcterms:modified xsi:type="dcterms:W3CDTF">2022-09-12T14:09:00Z</dcterms:modified>
</cp:coreProperties>
</file>