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005350DE">
        <w:rPr>
          <w:spacing w:val="21"/>
        </w:rPr>
        <w:t>H</w:t>
      </w:r>
      <w:r w:rsidRPr="00032DB2">
        <w:rPr>
          <w:spacing w:val="-1"/>
        </w:rPr>
        <w:t>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rsidR="00CF02B9" w:rsidRPr="00032DB2" w:rsidRDefault="00CF02B9" w:rsidP="00A90037">
      <w:pPr>
        <w:jc w:val="both"/>
      </w:pPr>
    </w:p>
    <w:p w:rsidR="00DF0353" w:rsidRPr="0088761C" w:rsidRDefault="006D0E0D" w:rsidP="008C74C2">
      <w:pPr>
        <w:suppressAutoHyphens w:val="0"/>
        <w:ind w:firstLine="426"/>
        <w:jc w:val="both"/>
        <w:rPr>
          <w:rFonts w:eastAsia="Calibri"/>
          <w:bCs/>
          <w:lang w:eastAsia="en-US"/>
        </w:rPr>
      </w:pPr>
      <w:r>
        <w:rPr>
          <w:rFonts w:eastAsia="Calibri"/>
          <w:bCs/>
          <w:lang w:eastAsia="en-US"/>
        </w:rPr>
        <w:t>Bu teknik şartnamenin kapsamı, Yavuzçehre Tekstil</w:t>
      </w:r>
      <w:r w:rsidR="007B083D">
        <w:t xml:space="preserve"> </w:t>
      </w:r>
      <w:r w:rsidR="000258CF" w:rsidRPr="00032DB2">
        <w:rPr>
          <w:rFonts w:eastAsia="Calibri"/>
          <w:bCs/>
          <w:lang w:eastAsia="en-US"/>
        </w:rPr>
        <w:t>k</w:t>
      </w:r>
      <w:r>
        <w:rPr>
          <w:rFonts w:eastAsia="Calibri"/>
          <w:bCs/>
          <w:lang w:eastAsia="en-US"/>
        </w:rPr>
        <w:t xml:space="preserve">urumuna </w:t>
      </w:r>
      <w:r w:rsidRPr="006D0E0D">
        <w:rPr>
          <w:rFonts w:eastAsia="Calibri"/>
          <w:bCs/>
          <w:lang w:eastAsia="en-US"/>
        </w:rPr>
        <w:t xml:space="preserve">Atık Malzemelerin İnovatif Şekilde Geri Dönüşümünün Sağlanarak Ürüne Dönüştürülmesi ve </w:t>
      </w:r>
      <w:r>
        <w:rPr>
          <w:rFonts w:eastAsia="Calibri"/>
          <w:bCs/>
          <w:lang w:eastAsia="en-US"/>
        </w:rPr>
        <w:t>Katma Değer Sağlanması Eğitimi</w:t>
      </w:r>
      <w:r w:rsidR="007B083D">
        <w:rPr>
          <w:rFonts w:eastAsia="Calibri"/>
          <w:bCs/>
          <w:lang w:eastAsia="en-US"/>
        </w:rPr>
        <w:t xml:space="preserve"> </w:t>
      </w:r>
      <w:r w:rsidR="00D469F8" w:rsidRPr="00032DB2">
        <w:rPr>
          <w:rFonts w:eastAsia="Calibri"/>
          <w:bCs/>
          <w:lang w:eastAsia="en-US"/>
        </w:rPr>
        <w:t>k</w:t>
      </w:r>
      <w:r w:rsidR="00D762AD" w:rsidRPr="00032DB2">
        <w:rPr>
          <w:rFonts w:eastAsia="Calibri"/>
          <w:bCs/>
          <w:lang w:eastAsia="en-US"/>
        </w:rPr>
        <w:t xml:space="preserve">onusunda </w:t>
      </w:r>
      <w:r w:rsidR="00E97860" w:rsidRPr="00032DB2">
        <w:rPr>
          <w:rFonts w:eastAsia="Calibri"/>
          <w:bCs/>
          <w:lang w:eastAsia="en-US"/>
        </w:rPr>
        <w:t>eğitimlerin</w:t>
      </w:r>
      <w:r>
        <w:rPr>
          <w:rFonts w:eastAsia="Calibri"/>
          <w:bCs/>
          <w:lang w:eastAsia="en-US"/>
        </w:rPr>
        <w:t xml:space="preserve"> ve takibindeki </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FF67C4">
        <w:rPr>
          <w:rFonts w:eastAsia="Calibri"/>
          <w:bCs/>
          <w:lang w:eastAsia="en-US"/>
        </w:rPr>
        <w:t>3</w:t>
      </w:r>
      <w:r w:rsidR="005140F0" w:rsidRPr="00032DB2">
        <w:rPr>
          <w:rFonts w:eastAsia="Calibri"/>
          <w:bCs/>
          <w:lang w:eastAsia="en-US"/>
        </w:rPr>
        <w:t xml:space="preserve"> yılı </w:t>
      </w:r>
      <w:r w:rsidR="008C74C2" w:rsidRPr="008C74C2">
        <w:rPr>
          <w:rFonts w:eastAsia="Calibri"/>
          <w:bCs/>
          <w:lang w:eastAsia="en-US"/>
        </w:rPr>
        <w:t>İmalat Sanayi İşletmelerine Yönelik</w:t>
      </w:r>
      <w:r w:rsidR="008C74C2">
        <w:rPr>
          <w:rFonts w:eastAsia="Calibri"/>
          <w:bCs/>
          <w:lang w:eastAsia="en-US"/>
        </w:rPr>
        <w:t xml:space="preserve"> </w:t>
      </w:r>
      <w:r w:rsidR="008C74C2" w:rsidRPr="008C74C2">
        <w:rPr>
          <w:rFonts w:eastAsia="Calibri"/>
          <w:bCs/>
          <w:lang w:eastAsia="en-US"/>
        </w:rPr>
        <w:t xml:space="preserve">Yönetim Danışmanlığı </w:t>
      </w:r>
      <w:r w:rsidR="005140F0" w:rsidRPr="00032DB2">
        <w:rPr>
          <w:rFonts w:eastAsia="Calibri"/>
          <w:bCs/>
          <w:lang w:eastAsia="en-US"/>
        </w:rPr>
        <w:t xml:space="preserve">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Yararlanıcı Adı</w:t>
            </w:r>
          </w:p>
        </w:tc>
        <w:tc>
          <w:tcPr>
            <w:tcW w:w="8080" w:type="dxa"/>
            <w:gridSpan w:val="2"/>
            <w:shd w:val="clear" w:color="auto" w:fill="auto"/>
            <w:vAlign w:val="center"/>
          </w:tcPr>
          <w:p w:rsidR="005A5977" w:rsidRPr="00190431" w:rsidRDefault="006D0E0D" w:rsidP="00E379E0">
            <w:pPr>
              <w:rPr>
                <w:sz w:val="22"/>
              </w:rPr>
            </w:pPr>
            <w:r>
              <w:rPr>
                <w:sz w:val="22"/>
              </w:rPr>
              <w:t>Yavuzçehre Tekstil San. Tic. A.Ş.</w:t>
            </w:r>
          </w:p>
        </w:tc>
      </w:tr>
      <w:tr w:rsidR="005A5977" w:rsidRPr="00CC78B8" w:rsidTr="00CF02B9">
        <w:trPr>
          <w:trHeight w:val="348"/>
        </w:trPr>
        <w:tc>
          <w:tcPr>
            <w:tcW w:w="1843" w:type="dxa"/>
            <w:shd w:val="clear" w:color="auto" w:fill="D9D9D9"/>
            <w:vAlign w:val="center"/>
          </w:tcPr>
          <w:p w:rsidR="005A5977" w:rsidRPr="00190431" w:rsidRDefault="00781ACD" w:rsidP="008D4777">
            <w:pPr>
              <w:rPr>
                <w:b/>
                <w:sz w:val="22"/>
              </w:rPr>
            </w:pPr>
            <w:r w:rsidRPr="00190431">
              <w:rPr>
                <w:b/>
                <w:sz w:val="22"/>
              </w:rPr>
              <w:t xml:space="preserve">Eğitim </w:t>
            </w:r>
            <w:r w:rsidR="005A5977" w:rsidRPr="00190431">
              <w:rPr>
                <w:b/>
                <w:sz w:val="22"/>
              </w:rPr>
              <w:t>Hizmet Yeri</w:t>
            </w:r>
          </w:p>
        </w:tc>
        <w:tc>
          <w:tcPr>
            <w:tcW w:w="8080" w:type="dxa"/>
            <w:gridSpan w:val="2"/>
            <w:shd w:val="clear" w:color="auto" w:fill="auto"/>
            <w:vAlign w:val="center"/>
          </w:tcPr>
          <w:p w:rsidR="001907E2" w:rsidRPr="00190431" w:rsidRDefault="006D0E0D" w:rsidP="0076215D">
            <w:pPr>
              <w:rPr>
                <w:sz w:val="22"/>
              </w:rPr>
            </w:pPr>
            <w:r>
              <w:rPr>
                <w:sz w:val="22"/>
              </w:rPr>
              <w:t xml:space="preserve">Eğitim salonu olarak Yavuzçehre Tekstil Amfisi ve Danışmanlık sürecinde Yavuzçehre Tekstil Toplantı Salonu (Adres: DOSB 2. Kısım Ali Rıza Öztürk Cad. No:27 Honaz Denizli) </w:t>
            </w:r>
            <w:r w:rsidR="0076215D">
              <w:rPr>
                <w:sz w:val="22"/>
              </w:rPr>
              <w:t>Tüm eğitim</w:t>
            </w:r>
            <w:r w:rsidR="001907E2" w:rsidRPr="001907E2">
              <w:rPr>
                <w:sz w:val="22"/>
              </w:rPr>
              <w:t xml:space="preserve"> hizmeti yüz yüze sağlanacaktır.</w:t>
            </w:r>
          </w:p>
        </w:tc>
      </w:tr>
      <w:tr w:rsidR="00781ACD" w:rsidRPr="00CC78B8" w:rsidTr="00CF02B9">
        <w:trPr>
          <w:trHeight w:val="348"/>
        </w:trPr>
        <w:tc>
          <w:tcPr>
            <w:tcW w:w="1843" w:type="dxa"/>
            <w:shd w:val="clear" w:color="auto" w:fill="D9D9D9"/>
            <w:vAlign w:val="center"/>
          </w:tcPr>
          <w:p w:rsidR="00781ACD" w:rsidRPr="00190431" w:rsidRDefault="00781ACD" w:rsidP="00E379E0">
            <w:pPr>
              <w:rPr>
                <w:b/>
                <w:sz w:val="22"/>
              </w:rPr>
            </w:pPr>
            <w:r w:rsidRPr="00190431">
              <w:rPr>
                <w:b/>
                <w:sz w:val="22"/>
              </w:rPr>
              <w:t>Danışmanlık Hizmet Yeri</w:t>
            </w:r>
          </w:p>
        </w:tc>
        <w:tc>
          <w:tcPr>
            <w:tcW w:w="8080" w:type="dxa"/>
            <w:gridSpan w:val="2"/>
            <w:shd w:val="clear" w:color="auto" w:fill="auto"/>
            <w:vAlign w:val="center"/>
          </w:tcPr>
          <w:p w:rsidR="001907E2" w:rsidRPr="00190431" w:rsidRDefault="00AA3014" w:rsidP="006D0E0D">
            <w:pPr>
              <w:rPr>
                <w:sz w:val="22"/>
              </w:rPr>
            </w:pPr>
            <w:r>
              <w:rPr>
                <w:sz w:val="22"/>
              </w:rPr>
              <w:t>Danışmanlık hizmeti</w:t>
            </w:r>
            <w:r w:rsidR="006D0E0D">
              <w:rPr>
                <w:sz w:val="22"/>
              </w:rPr>
              <w:t xml:space="preserve"> Yauzçehre Tekstil Kampüs alanı içerisinde atık giriş ve atık çıkış noktaları başta olmak üzere atığın oluştuğu her bir departmanda hizmet alınacaktır. </w:t>
            </w:r>
          </w:p>
        </w:tc>
      </w:tr>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Hizmet Konusu</w:t>
            </w:r>
          </w:p>
        </w:tc>
        <w:tc>
          <w:tcPr>
            <w:tcW w:w="8080" w:type="dxa"/>
            <w:gridSpan w:val="2"/>
            <w:shd w:val="clear" w:color="auto" w:fill="auto"/>
            <w:vAlign w:val="center"/>
          </w:tcPr>
          <w:p w:rsidR="005A5977" w:rsidRPr="00190431" w:rsidRDefault="006D0E0D" w:rsidP="00E379E0">
            <w:pPr>
              <w:rPr>
                <w:sz w:val="22"/>
              </w:rPr>
            </w:pPr>
            <w:r w:rsidRPr="006D0E0D">
              <w:rPr>
                <w:sz w:val="22"/>
              </w:rPr>
              <w:t xml:space="preserve">Atık Malzemelerin İnovatif Şekilde Geri Dönüşümünün Sağlanarak Ürüne Dönüştürülmesi ve </w:t>
            </w:r>
            <w:r>
              <w:rPr>
                <w:sz w:val="22"/>
              </w:rPr>
              <w:t xml:space="preserve">Katma Değer Sağlanması Eğitimi ve Danışmanlığı </w:t>
            </w:r>
          </w:p>
        </w:tc>
      </w:tr>
      <w:tr w:rsidR="005A5977" w:rsidRPr="0005175E" w:rsidTr="00CF02B9">
        <w:trPr>
          <w:trHeight w:hRule="exact" w:val="567"/>
        </w:trPr>
        <w:tc>
          <w:tcPr>
            <w:tcW w:w="1843" w:type="dxa"/>
            <w:shd w:val="clear" w:color="auto" w:fill="D9D9D9"/>
            <w:vAlign w:val="center"/>
          </w:tcPr>
          <w:p w:rsidR="005A5977" w:rsidRPr="00190431" w:rsidRDefault="005A5977" w:rsidP="005A5977">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190431" w:rsidTr="00E379E0">
              <w:tc>
                <w:tcPr>
                  <w:tcW w:w="955" w:type="dxa"/>
                  <w:shd w:val="clear" w:color="auto" w:fill="D9D9D9"/>
                </w:tcPr>
                <w:p w:rsidR="005A5977" w:rsidRPr="00190431" w:rsidRDefault="005A5977" w:rsidP="00E379E0">
                  <w:pPr>
                    <w:rPr>
                      <w:b/>
                      <w:sz w:val="22"/>
                    </w:rPr>
                  </w:pPr>
                  <w:r w:rsidRPr="00190431">
                    <w:rPr>
                      <w:b/>
                      <w:sz w:val="22"/>
                    </w:rPr>
                    <w:t>Eğitim</w:t>
                  </w:r>
                </w:p>
              </w:tc>
              <w:tc>
                <w:tcPr>
                  <w:tcW w:w="491" w:type="dxa"/>
                  <w:tcBorders>
                    <w:right w:val="single" w:sz="4" w:space="0" w:color="auto"/>
                  </w:tcBorders>
                  <w:shd w:val="clear" w:color="auto" w:fill="auto"/>
                </w:tcPr>
                <w:p w:rsidR="005A5977" w:rsidRPr="00190431" w:rsidRDefault="005A5977" w:rsidP="00E379E0">
                  <w:pPr>
                    <w:rPr>
                      <w:sz w:val="22"/>
                    </w:rPr>
                  </w:pPr>
                </w:p>
              </w:tc>
              <w:tc>
                <w:tcPr>
                  <w:tcW w:w="709"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1559" w:type="dxa"/>
                  <w:tcBorders>
                    <w:left w:val="single" w:sz="4" w:space="0" w:color="auto"/>
                  </w:tcBorders>
                  <w:shd w:val="clear" w:color="auto" w:fill="D9D9D9"/>
                </w:tcPr>
                <w:p w:rsidR="005A5977" w:rsidRPr="00190431" w:rsidRDefault="005A5977" w:rsidP="00E379E0">
                  <w:pPr>
                    <w:rPr>
                      <w:b/>
                      <w:sz w:val="22"/>
                    </w:rPr>
                  </w:pPr>
                  <w:r w:rsidRPr="00190431">
                    <w:rPr>
                      <w:b/>
                      <w:sz w:val="22"/>
                    </w:rPr>
                    <w:t>Danışmanlık</w:t>
                  </w:r>
                </w:p>
              </w:tc>
              <w:tc>
                <w:tcPr>
                  <w:tcW w:w="426" w:type="dxa"/>
                  <w:tcBorders>
                    <w:right w:val="single" w:sz="4" w:space="0" w:color="auto"/>
                  </w:tcBorders>
                  <w:shd w:val="clear" w:color="auto" w:fill="auto"/>
                </w:tcPr>
                <w:p w:rsidR="005A5977" w:rsidRPr="00190431" w:rsidRDefault="005A5977" w:rsidP="00E379E0">
                  <w:pPr>
                    <w:rPr>
                      <w:sz w:val="22"/>
                    </w:rPr>
                  </w:pPr>
                </w:p>
              </w:tc>
              <w:tc>
                <w:tcPr>
                  <w:tcW w:w="708"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2552" w:type="dxa"/>
                  <w:tcBorders>
                    <w:left w:val="single" w:sz="4" w:space="0" w:color="auto"/>
                  </w:tcBorders>
                  <w:shd w:val="clear" w:color="auto" w:fill="D9D9D9"/>
                </w:tcPr>
                <w:p w:rsidR="005A5977" w:rsidRPr="00190431" w:rsidRDefault="005A5977" w:rsidP="00E379E0">
                  <w:pPr>
                    <w:rPr>
                      <w:b/>
                      <w:sz w:val="22"/>
                    </w:rPr>
                  </w:pPr>
                  <w:r w:rsidRPr="00190431">
                    <w:rPr>
                      <w:b/>
                      <w:sz w:val="22"/>
                    </w:rPr>
                    <w:t>Eğitim + Danışmanlık</w:t>
                  </w:r>
                </w:p>
              </w:tc>
              <w:tc>
                <w:tcPr>
                  <w:tcW w:w="454" w:type="dxa"/>
                  <w:shd w:val="clear" w:color="auto" w:fill="auto"/>
                </w:tcPr>
                <w:p w:rsidR="005A5977" w:rsidRPr="00190431" w:rsidRDefault="006D0E0D" w:rsidP="00E379E0">
                  <w:pPr>
                    <w:rPr>
                      <w:sz w:val="22"/>
                    </w:rPr>
                  </w:pPr>
                  <w:r>
                    <w:rPr>
                      <w:sz w:val="22"/>
                    </w:rPr>
                    <w:t>X</w:t>
                  </w:r>
                </w:p>
              </w:tc>
            </w:tr>
          </w:tbl>
          <w:p w:rsidR="005A5977" w:rsidRPr="00190431" w:rsidRDefault="005A5977" w:rsidP="00E379E0">
            <w:pPr>
              <w:rPr>
                <w:sz w:val="22"/>
                <w:highlight w:val="yellow"/>
              </w:rPr>
            </w:pPr>
          </w:p>
        </w:tc>
      </w:tr>
      <w:tr w:rsidR="005A5977" w:rsidRPr="00CC78B8" w:rsidTr="00CF02B9">
        <w:tc>
          <w:tcPr>
            <w:tcW w:w="1843" w:type="dxa"/>
            <w:vMerge w:val="restart"/>
            <w:shd w:val="clear" w:color="auto" w:fill="D9D9D9"/>
            <w:vAlign w:val="center"/>
          </w:tcPr>
          <w:p w:rsidR="005A5977" w:rsidRPr="00190431" w:rsidRDefault="005A5977" w:rsidP="00E379E0">
            <w:pPr>
              <w:rPr>
                <w:b/>
                <w:sz w:val="22"/>
              </w:rPr>
            </w:pPr>
            <w:r w:rsidRPr="00190431">
              <w:rPr>
                <w:b/>
                <w:sz w:val="22"/>
              </w:rPr>
              <w:t>Hizmet Süresi</w:t>
            </w:r>
          </w:p>
        </w:tc>
        <w:tc>
          <w:tcPr>
            <w:tcW w:w="1800" w:type="dxa"/>
            <w:shd w:val="clear" w:color="auto" w:fill="D9D9D9"/>
            <w:vAlign w:val="center"/>
          </w:tcPr>
          <w:p w:rsidR="005A5977" w:rsidRPr="00190431" w:rsidRDefault="005A5977" w:rsidP="00E379E0">
            <w:pPr>
              <w:rPr>
                <w:b/>
                <w:sz w:val="22"/>
              </w:rPr>
            </w:pPr>
            <w:r w:rsidRPr="00190431">
              <w:rPr>
                <w:b/>
                <w:sz w:val="22"/>
              </w:rPr>
              <w:t>Günlük Saat</w:t>
            </w:r>
          </w:p>
        </w:tc>
        <w:tc>
          <w:tcPr>
            <w:tcW w:w="6280" w:type="dxa"/>
            <w:shd w:val="clear" w:color="auto" w:fill="auto"/>
            <w:vAlign w:val="center"/>
          </w:tcPr>
          <w:p w:rsidR="006D0E0D" w:rsidRDefault="006D0E0D" w:rsidP="003B6909">
            <w:pPr>
              <w:pStyle w:val="ListeParagraf"/>
              <w:numPr>
                <w:ilvl w:val="0"/>
                <w:numId w:val="32"/>
              </w:numPr>
              <w:spacing w:after="0"/>
            </w:pPr>
            <w:r>
              <w:t>Gün: 8 Saat eğitim</w:t>
            </w:r>
          </w:p>
          <w:p w:rsidR="005A5977" w:rsidRDefault="006D0E0D" w:rsidP="003B6909">
            <w:pPr>
              <w:pStyle w:val="ListeParagraf"/>
              <w:numPr>
                <w:ilvl w:val="0"/>
                <w:numId w:val="32"/>
              </w:numPr>
              <w:spacing w:after="0"/>
            </w:pPr>
            <w:r>
              <w:t>Gün : 6 saat Eğitim + 2 Saat Danışmanlık (Raporlama)</w:t>
            </w:r>
            <w:r w:rsidR="003F238D" w:rsidRPr="006D0E0D">
              <w:t xml:space="preserve"> </w:t>
            </w:r>
          </w:p>
          <w:p w:rsidR="006D0E0D" w:rsidRPr="006D0E0D" w:rsidRDefault="006D0E0D" w:rsidP="003B6909">
            <w:pPr>
              <w:pStyle w:val="ListeParagraf"/>
              <w:numPr>
                <w:ilvl w:val="0"/>
                <w:numId w:val="32"/>
              </w:numPr>
              <w:spacing w:after="0"/>
            </w:pPr>
            <w:r>
              <w:t xml:space="preserve">Gün: </w:t>
            </w:r>
            <w:r w:rsidR="002440D0">
              <w:t xml:space="preserve"> </w:t>
            </w:r>
            <w:r>
              <w:t>8 saat Danışmanlık (Raporlama)</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Gün Sayısı</w:t>
            </w:r>
          </w:p>
        </w:tc>
        <w:tc>
          <w:tcPr>
            <w:tcW w:w="6280" w:type="dxa"/>
            <w:shd w:val="clear" w:color="auto" w:fill="auto"/>
            <w:vAlign w:val="center"/>
          </w:tcPr>
          <w:p w:rsidR="005A5977" w:rsidRPr="00190431" w:rsidRDefault="007F0AE3" w:rsidP="0076215D">
            <w:pPr>
              <w:jc w:val="both"/>
              <w:rPr>
                <w:sz w:val="22"/>
              </w:rPr>
            </w:pPr>
            <w:r>
              <w:rPr>
                <w:sz w:val="22"/>
              </w:rPr>
              <w:t>3 Gün</w:t>
            </w:r>
            <w:r w:rsidR="003F238D" w:rsidRPr="00190431">
              <w:rPr>
                <w:sz w:val="22"/>
              </w:rPr>
              <w:t xml:space="preserve"> </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Gün Tercihleri</w:t>
            </w:r>
          </w:p>
        </w:tc>
        <w:tc>
          <w:tcPr>
            <w:tcW w:w="6280" w:type="dxa"/>
            <w:shd w:val="clear" w:color="auto" w:fill="auto"/>
            <w:vAlign w:val="center"/>
          </w:tcPr>
          <w:p w:rsidR="005A5977" w:rsidRPr="00190431" w:rsidRDefault="006D0E0D" w:rsidP="007F0AE3">
            <w:pPr>
              <w:rPr>
                <w:sz w:val="22"/>
              </w:rPr>
            </w:pPr>
            <w:r>
              <w:rPr>
                <w:sz w:val="22"/>
              </w:rPr>
              <w:t xml:space="preserve">Hafta içi </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Toplam Süre</w:t>
            </w:r>
          </w:p>
        </w:tc>
        <w:tc>
          <w:tcPr>
            <w:tcW w:w="6280" w:type="dxa"/>
            <w:shd w:val="clear" w:color="auto" w:fill="auto"/>
            <w:vAlign w:val="center"/>
          </w:tcPr>
          <w:p w:rsidR="005A5977" w:rsidRPr="00190431" w:rsidRDefault="005A5977" w:rsidP="005A5977">
            <w:pPr>
              <w:rPr>
                <w:sz w:val="22"/>
              </w:rPr>
            </w:pPr>
            <w:r w:rsidRPr="00190431">
              <w:rPr>
                <w:sz w:val="22"/>
              </w:rPr>
              <w:t xml:space="preserve">Günlük </w:t>
            </w:r>
            <w:r w:rsidR="006D0E0D">
              <w:rPr>
                <w:sz w:val="22"/>
              </w:rPr>
              <w:t xml:space="preserve">8 </w:t>
            </w:r>
            <w:r w:rsidRPr="00190431">
              <w:rPr>
                <w:sz w:val="22"/>
              </w:rPr>
              <w:t xml:space="preserve">Saat x </w:t>
            </w:r>
            <w:r w:rsidR="006D0E0D">
              <w:rPr>
                <w:sz w:val="22"/>
              </w:rPr>
              <w:t xml:space="preserve">3 Gün </w:t>
            </w:r>
            <w:r w:rsidR="007F0AE3">
              <w:rPr>
                <w:sz w:val="22"/>
              </w:rPr>
              <w:t>= 24 Saat</w:t>
            </w:r>
          </w:p>
        </w:tc>
      </w:tr>
      <w:tr w:rsidR="005A5977" w:rsidRPr="00CC78B8" w:rsidTr="00190431">
        <w:trPr>
          <w:trHeight w:hRule="exact" w:val="861"/>
        </w:trPr>
        <w:tc>
          <w:tcPr>
            <w:tcW w:w="1843" w:type="dxa"/>
            <w:shd w:val="clear" w:color="auto" w:fill="D9D9D9"/>
            <w:vAlign w:val="center"/>
          </w:tcPr>
          <w:p w:rsidR="005A5977" w:rsidRPr="00190431" w:rsidRDefault="005A5977" w:rsidP="00E379E0">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190431" w:rsidRPr="00190431" w:rsidTr="00E379E0">
              <w:tc>
                <w:tcPr>
                  <w:tcW w:w="2013" w:type="dxa"/>
                  <w:shd w:val="clear" w:color="auto" w:fill="D9D9D9"/>
                </w:tcPr>
                <w:p w:rsidR="00190431" w:rsidRPr="00190431" w:rsidRDefault="00190431" w:rsidP="00E379E0">
                  <w:pPr>
                    <w:rPr>
                      <w:b/>
                      <w:sz w:val="22"/>
                    </w:rPr>
                  </w:pPr>
                  <w:r w:rsidRPr="00190431">
                    <w:rPr>
                      <w:b/>
                      <w:sz w:val="22"/>
                    </w:rPr>
                    <w:t>Kişi Sayısı</w:t>
                  </w:r>
                </w:p>
              </w:tc>
              <w:tc>
                <w:tcPr>
                  <w:tcW w:w="567" w:type="dxa"/>
                  <w:tcBorders>
                    <w:right w:val="single" w:sz="4" w:space="0" w:color="auto"/>
                  </w:tcBorders>
                  <w:shd w:val="clear" w:color="auto" w:fill="auto"/>
                </w:tcPr>
                <w:p w:rsidR="00190431" w:rsidRPr="00190431" w:rsidRDefault="006D0E0D" w:rsidP="00E379E0">
                  <w:pPr>
                    <w:rPr>
                      <w:sz w:val="22"/>
                    </w:rPr>
                  </w:pPr>
                  <w:r>
                    <w:rPr>
                      <w:sz w:val="22"/>
                    </w:rPr>
                    <w:t>15</w:t>
                  </w:r>
                </w:p>
              </w:tc>
            </w:tr>
          </w:tbl>
          <w:p w:rsidR="005A5977" w:rsidRPr="00190431" w:rsidRDefault="005A5977" w:rsidP="00190431">
            <w:pPr>
              <w:rPr>
                <w:sz w:val="22"/>
              </w:rPr>
            </w:pPr>
          </w:p>
        </w:tc>
      </w:tr>
    </w:tbl>
    <w:p w:rsidR="00651272" w:rsidRDefault="00651272" w:rsidP="008364FB">
      <w:pPr>
        <w:pStyle w:val="AralkYok"/>
        <w:jc w:val="both"/>
        <w:rPr>
          <w:rFonts w:ascii="Times New Roman" w:hAnsi="Times New Roman" w:cs="Times New Roman"/>
          <w:b/>
          <w:position w:val="-2"/>
          <w:sz w:val="24"/>
          <w:szCs w:val="24"/>
        </w:rPr>
      </w:pPr>
    </w:p>
    <w:p w:rsidR="00F1763E" w:rsidRDefault="00F1763E" w:rsidP="008364FB">
      <w:pPr>
        <w:pStyle w:val="AralkYok"/>
        <w:jc w:val="both"/>
        <w:rPr>
          <w:rFonts w:ascii="Times New Roman" w:hAnsi="Times New Roman" w:cs="Times New Roman"/>
          <w:b/>
          <w:position w:val="-2"/>
          <w:sz w:val="24"/>
          <w:szCs w:val="24"/>
        </w:rPr>
      </w:pPr>
    </w:p>
    <w:p w:rsidR="0076215D" w:rsidRDefault="0076215D" w:rsidP="008364FB">
      <w:pPr>
        <w:pStyle w:val="AralkYok"/>
        <w:jc w:val="both"/>
        <w:rPr>
          <w:rFonts w:ascii="Times New Roman" w:hAnsi="Times New Roman" w:cs="Times New Roman"/>
          <w:b/>
          <w:position w:val="-2"/>
          <w:sz w:val="24"/>
          <w:szCs w:val="24"/>
        </w:rPr>
      </w:pPr>
      <w:bookmarkStart w:id="2" w:name="_GoBack"/>
      <w:bookmarkEnd w:id="2"/>
    </w:p>
    <w:p w:rsidR="0076215D" w:rsidRDefault="0076215D" w:rsidP="008364FB">
      <w:pPr>
        <w:pStyle w:val="AralkYok"/>
        <w:jc w:val="both"/>
        <w:rPr>
          <w:rFonts w:ascii="Times New Roman" w:hAnsi="Times New Roman" w:cs="Times New Roman"/>
          <w:b/>
          <w:position w:val="-2"/>
          <w:sz w:val="24"/>
          <w:szCs w:val="24"/>
        </w:rPr>
      </w:pPr>
    </w:p>
    <w:p w:rsidR="00190431" w:rsidRDefault="00190431" w:rsidP="008364FB">
      <w:pPr>
        <w:pStyle w:val="AralkYok"/>
        <w:jc w:val="both"/>
        <w:rPr>
          <w:rFonts w:ascii="Times New Roman" w:hAnsi="Times New Roman" w:cs="Times New Roman"/>
          <w:b/>
          <w:position w:val="-2"/>
          <w:sz w:val="24"/>
          <w:szCs w:val="24"/>
        </w:rPr>
      </w:pPr>
    </w:p>
    <w:p w:rsidR="008D4777" w:rsidRDefault="008D4777"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Teknokent Kınıklı </w:t>
      </w:r>
      <w:r w:rsidR="00447201" w:rsidRPr="0088761C">
        <w:rPr>
          <w:position w:val="-2"/>
        </w:rPr>
        <w:t xml:space="preserve">Mh. Hüseyin Yılmaz Cd. </w:t>
      </w:r>
    </w:p>
    <w:p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klilerde aşağıdaki yeterlilik kriterleri</w:t>
      </w:r>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r w:rsidR="00325209" w:rsidRPr="00087F29">
        <w:rPr>
          <w:rFonts w:eastAsia="Calibri"/>
          <w:b/>
          <w:bCs/>
          <w:lang w:eastAsia="en-US"/>
        </w:rPr>
        <w:t>kriter</w:t>
      </w:r>
      <w:r w:rsidR="00CF02B9">
        <w:rPr>
          <w:rFonts w:eastAsia="Calibri"/>
          <w:b/>
          <w:bCs/>
          <w:lang w:eastAsia="en-US"/>
        </w:rPr>
        <w:t>lerin</w:t>
      </w:r>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661F80">
        <w:rPr>
          <w:rFonts w:eastAsia="Calibri"/>
          <w:bCs/>
          <w:lang w:eastAsia="en-US"/>
        </w:rPr>
        <w:t>/Firma</w:t>
      </w:r>
      <w:r w:rsidR="00A448B7" w:rsidRPr="00032DB2">
        <w:rPr>
          <w:rFonts w:eastAsia="Calibri"/>
          <w:bCs/>
          <w:lang w:eastAsia="en-US"/>
        </w:rPr>
        <w:t xml:space="preserve"> için;</w:t>
      </w:r>
    </w:p>
    <w:p w:rsidR="00325209" w:rsidRDefault="00325209" w:rsidP="00325209">
      <w:pPr>
        <w:suppressAutoHyphens w:val="0"/>
        <w:contextualSpacing/>
        <w:jc w:val="both"/>
        <w:rPr>
          <w:b/>
          <w:i/>
        </w:rPr>
      </w:pPr>
      <w:r w:rsidRPr="00325209">
        <w:rPr>
          <w:b/>
          <w:i/>
        </w:rPr>
        <w:t xml:space="preserve">Zorunlu Kriterler </w:t>
      </w:r>
    </w:p>
    <w:p w:rsidR="00325209" w:rsidRPr="00325209" w:rsidRDefault="00325209" w:rsidP="00325209">
      <w:pPr>
        <w:suppressAutoHyphens w:val="0"/>
        <w:contextualSpacing/>
        <w:jc w:val="both"/>
        <w:rPr>
          <w:b/>
          <w:i/>
        </w:rPr>
      </w:pPr>
    </w:p>
    <w:p w:rsidR="00661F80" w:rsidRDefault="006D0E0D" w:rsidP="00746150">
      <w:pPr>
        <w:pStyle w:val="ListeParagraf"/>
        <w:numPr>
          <w:ilvl w:val="0"/>
          <w:numId w:val="23"/>
        </w:numPr>
        <w:suppressAutoHyphens w:val="0"/>
        <w:ind w:left="709" w:hanging="283"/>
        <w:contextualSpacing/>
        <w:jc w:val="both"/>
        <w:rPr>
          <w:rFonts w:ascii="Times New Roman" w:hAnsi="Times New Roman"/>
          <w:b/>
          <w:i/>
          <w:sz w:val="24"/>
        </w:rPr>
      </w:pPr>
      <w:r>
        <w:rPr>
          <w:rFonts w:ascii="Times New Roman" w:hAnsi="Times New Roman"/>
          <w:b/>
          <w:i/>
          <w:sz w:val="24"/>
        </w:rPr>
        <w:t xml:space="preserve">Atık Haritalandırılması konusunda </w:t>
      </w:r>
      <w:r w:rsidR="00661F80">
        <w:rPr>
          <w:rFonts w:ascii="Times New Roman" w:hAnsi="Times New Roman"/>
          <w:b/>
          <w:i/>
          <w:sz w:val="24"/>
        </w:rPr>
        <w:t>en az 2 kez eğitim/danışmanlık hizmeti vermiş olmak</w:t>
      </w:r>
    </w:p>
    <w:p w:rsidR="006D0E0D" w:rsidRPr="006D0E0D" w:rsidRDefault="006D0E0D" w:rsidP="003B6909">
      <w:pPr>
        <w:pStyle w:val="ListeParagraf"/>
        <w:numPr>
          <w:ilvl w:val="0"/>
          <w:numId w:val="23"/>
        </w:numPr>
        <w:suppressAutoHyphens w:val="0"/>
        <w:ind w:left="709" w:hanging="283"/>
        <w:contextualSpacing/>
        <w:jc w:val="both"/>
      </w:pPr>
      <w:r w:rsidRPr="00986BF4">
        <w:rPr>
          <w:b/>
          <w:i/>
        </w:rPr>
        <w:t>Tek</w:t>
      </w:r>
      <w:r w:rsidR="00986BF4" w:rsidRPr="003B6909">
        <w:rPr>
          <w:rFonts w:ascii="Times New Roman" w:hAnsi="Times New Roman"/>
          <w:b/>
          <w:i/>
          <w:sz w:val="24"/>
        </w:rPr>
        <w:t>s</w:t>
      </w:r>
      <w:r w:rsidRPr="00986BF4">
        <w:rPr>
          <w:b/>
          <w:i/>
        </w:rPr>
        <w:t>til Sektöründe sürdürülebilir çözümler konusunda Global markalarda referansları olma</w:t>
      </w:r>
      <w:r w:rsidR="00986BF4" w:rsidRPr="003B6909">
        <w:rPr>
          <w:rFonts w:ascii="Times New Roman" w:hAnsi="Times New Roman"/>
          <w:b/>
          <w:i/>
          <w:sz w:val="24"/>
        </w:rPr>
        <w:t>sı</w:t>
      </w:r>
    </w:p>
    <w:p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kişi(ler)in özgeçmişlerini belirtmelidir.  Özgeçmişler olabildiğince ayrıntılı, referanslar ulaşılabilir olmalıdır. Tecrübe ve niteliklerde bahsedilen genel ifadeler (Örn: … konusunda 15 adet eğitim verilmiştir / 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maliyet etkinliği göz önünde bulundurulmaktadır. Ancak Ajans, eğitimin/danışmanlığın niteliği ve faaliyet için gerekli koşullar göz önüne alarak, teklif değerlendirme yönteminde ve eğitmen/danışmanda aranacak yeterlilik kriterlerinde değişiklik yapma hakkına sahiptir.</w:t>
      </w:r>
    </w:p>
    <w:p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dahil olacak şekilde verilmelidir. Tekliflerde mutlaka KDV hariç değer, KDV yüzdesi ve KDV dahil toplam ayrı ayrı belirtilmelidir. </w:t>
      </w:r>
    </w:p>
    <w:p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t xml:space="preserve">Yükleniciye, verecekleri fiyat teklifinde öngörülen tutarın dışında ilave bir ödeme yapılmayacaktır. </w:t>
      </w:r>
    </w:p>
    <w:p w:rsidR="002F5A08" w:rsidRPr="00D921B6" w:rsidRDefault="002F5A08" w:rsidP="00D921B6">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mekanına, mekanda bulunması gereken altyapı ekipmanlarına (Bilgisayar, sunum cihazı vb.), toplantı esnasındaki ikramlara (çay, kahve, kuru pasta) dair gereklilikler yararlanıcı tarafından sağlanacaktır. </w:t>
      </w:r>
      <w:r w:rsidR="00D921B6" w:rsidRPr="00D921B6">
        <w:rPr>
          <w:rFonts w:eastAsia="Calibri"/>
          <w:bCs/>
          <w:lang w:eastAsia="en-US"/>
        </w:rPr>
        <w:t>Eğitim/danışmanlık süresince kullanılacak eğitime özel malzeme ve ekipman (deney setleri, renkli kartlar, renkli kalem, yapıştırıcı vb.), yüklenici tarafından sağlanacaktır.</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lastRenderedPageBreak/>
        <w:t xml:space="preserve">Yüklenici eğitim hizmeti ile ilgili katılım belgesi düzenlemek zorundadır. Katılım belgesinde Ajans görünürlük kurallarına riayet edilecektir ve belgenin metin kısmında eğitimin Ajans desteği ile gerçekleştirildiği belirtilecektir. (Örn: </w:t>
      </w:r>
      <w:r w:rsidR="006308B1" w:rsidRPr="006308B1">
        <w:rPr>
          <w:rFonts w:eastAsia="Calibri"/>
          <w:bCs/>
          <w:lang w:eastAsia="en-US"/>
        </w:rPr>
        <w:t xml:space="preserve">Güney Ege Kalkınma Ajansı 2023 yılı İmalat Sanayi İşletmelerine Yönelik Yönetim Danışmanlığı Teknik Destek </w:t>
      </w:r>
      <w:r w:rsidRPr="00032DB2">
        <w:rPr>
          <w:rFonts w:eastAsia="Calibri"/>
          <w:bCs/>
          <w:lang w:eastAsia="en-US"/>
        </w:rPr>
        <w:t>Programı kapsamında …/…/…. tarihlerinde düzenlenen …. Eğitimine katılmıştır.)</w:t>
      </w:r>
    </w:p>
    <w:p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rsidR="007C2C3D" w:rsidRDefault="007C2C3D" w:rsidP="007C2C3D">
      <w:pPr>
        <w:suppressAutoHyphens w:val="0"/>
        <w:spacing w:before="120" w:after="120"/>
        <w:ind w:firstLine="426"/>
        <w:jc w:val="both"/>
        <w:rPr>
          <w:b/>
        </w:rPr>
      </w:pPr>
      <w:r>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Pr>
          <w:rFonts w:eastAsia="Calibri"/>
          <w:bCs/>
          <w:lang w:eastAsia="en-US"/>
        </w:rPr>
        <w:tab/>
      </w:r>
    </w:p>
    <w:p w:rsidR="007C2C3D" w:rsidRDefault="007C2C3D" w:rsidP="00D7558C">
      <w:pPr>
        <w:suppressAutoHyphens w:val="0"/>
        <w:spacing w:before="120" w:after="120"/>
        <w:ind w:firstLine="426"/>
        <w:jc w:val="both"/>
        <w:rPr>
          <w:b/>
        </w:rPr>
      </w:pPr>
    </w:p>
    <w:p w:rsidR="00A11683" w:rsidRDefault="00A11683" w:rsidP="00D7558C">
      <w:pPr>
        <w:suppressAutoHyphens w:val="0"/>
        <w:spacing w:before="120" w:after="120"/>
        <w:ind w:firstLine="426"/>
        <w:jc w:val="both"/>
        <w:rPr>
          <w:b/>
        </w:rPr>
      </w:pPr>
      <w:r w:rsidRPr="00032DB2">
        <w:rPr>
          <w:b/>
        </w:rPr>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tbl>
      <w:tblPr>
        <w:tblStyle w:val="TabloKlavuzu"/>
        <w:tblW w:w="5000" w:type="pct"/>
        <w:jc w:val="center"/>
        <w:tblLayout w:type="fixed"/>
        <w:tblLook w:val="04A0" w:firstRow="1" w:lastRow="0" w:firstColumn="1" w:lastColumn="0" w:noHBand="0" w:noVBand="1"/>
      </w:tblPr>
      <w:tblGrid>
        <w:gridCol w:w="1527"/>
        <w:gridCol w:w="8186"/>
      </w:tblGrid>
      <w:tr w:rsidR="008C3C6D" w:rsidRPr="00D45EFB" w:rsidTr="00F80437">
        <w:trPr>
          <w:trHeight w:hRule="exact" w:val="454"/>
          <w:jc w:val="center"/>
        </w:trPr>
        <w:tc>
          <w:tcPr>
            <w:tcW w:w="5000" w:type="pct"/>
            <w:gridSpan w:val="2"/>
            <w:shd w:val="clear" w:color="auto" w:fill="FDE9D9" w:themeFill="accent6" w:themeFillTint="33"/>
          </w:tcPr>
          <w:p w:rsidR="008C3C6D" w:rsidRPr="00D45EFB" w:rsidRDefault="002F5A08" w:rsidP="00C17E86">
            <w:pPr>
              <w:spacing w:before="120" w:after="120"/>
              <w:jc w:val="center"/>
              <w:rPr>
                <w:rFonts w:cstheme="minorHAnsi"/>
                <w:b/>
              </w:rPr>
            </w:pPr>
            <w:r w:rsidRPr="00032DB2">
              <w:rPr>
                <w:rFonts w:eastAsia="Calibri"/>
                <w:bCs/>
                <w:lang w:eastAsia="en-US"/>
              </w:rPr>
              <w:t xml:space="preserve"> </w:t>
            </w:r>
            <w:r w:rsidR="008C3C6D">
              <w:rPr>
                <w:rFonts w:cstheme="minorHAnsi"/>
                <w:b/>
                <w:sz w:val="28"/>
                <w:szCs w:val="36"/>
              </w:rPr>
              <w:t>FAALİYET PLANI</w:t>
            </w:r>
            <w:r w:rsidR="008C3C6D">
              <w:rPr>
                <w:rStyle w:val="DipnotBavurusu"/>
                <w:rFonts w:cstheme="minorHAnsi"/>
                <w:b/>
                <w:sz w:val="28"/>
                <w:szCs w:val="36"/>
              </w:rPr>
              <w:footnoteReference w:id="1"/>
            </w:r>
          </w:p>
        </w:tc>
      </w:tr>
      <w:tr w:rsidR="00E669BC" w:rsidRPr="00D45EFB" w:rsidTr="00F80437">
        <w:trPr>
          <w:trHeight w:hRule="exact" w:val="626"/>
          <w:jc w:val="center"/>
        </w:trPr>
        <w:tc>
          <w:tcPr>
            <w:tcW w:w="786" w:type="pct"/>
            <w:vAlign w:val="center"/>
          </w:tcPr>
          <w:p w:rsidR="00E669BC" w:rsidRPr="009D539E" w:rsidRDefault="00E669BC" w:rsidP="00C17E86">
            <w:pPr>
              <w:rPr>
                <w:rFonts w:cstheme="minorHAnsi"/>
                <w:b/>
              </w:rPr>
            </w:pPr>
            <w:r w:rsidRPr="009D539E">
              <w:rPr>
                <w:rFonts w:cstheme="minorHAnsi"/>
                <w:b/>
              </w:rPr>
              <w:t>Faaliyet Numarası</w:t>
            </w:r>
          </w:p>
        </w:tc>
        <w:tc>
          <w:tcPr>
            <w:tcW w:w="4214" w:type="pct"/>
            <w:vAlign w:val="center"/>
          </w:tcPr>
          <w:p w:rsidR="00E669BC" w:rsidRPr="009D539E" w:rsidRDefault="00E669BC" w:rsidP="00E669BC">
            <w:pPr>
              <w:rPr>
                <w:rFonts w:cstheme="minorHAnsi"/>
                <w:b/>
              </w:rPr>
            </w:pPr>
            <w:r w:rsidRPr="009D539E">
              <w:rPr>
                <w:rFonts w:cstheme="minorHAnsi"/>
                <w:b/>
              </w:rPr>
              <w:t>Faaliyetler / Konu</w:t>
            </w:r>
          </w:p>
        </w:tc>
      </w:tr>
      <w:tr w:rsidR="00E669BC" w:rsidRPr="00D45EFB" w:rsidTr="00F80437">
        <w:trPr>
          <w:trHeight w:hRule="exact" w:val="454"/>
          <w:jc w:val="center"/>
        </w:trPr>
        <w:tc>
          <w:tcPr>
            <w:tcW w:w="786" w:type="pct"/>
            <w:vAlign w:val="center"/>
          </w:tcPr>
          <w:p w:rsidR="00E669BC" w:rsidRPr="00D45EFB" w:rsidRDefault="00E669BC" w:rsidP="00C17E86">
            <w:pPr>
              <w:pStyle w:val="ListeParagraf"/>
              <w:numPr>
                <w:ilvl w:val="0"/>
                <w:numId w:val="27"/>
              </w:numPr>
              <w:tabs>
                <w:tab w:val="left" w:pos="142"/>
              </w:tabs>
              <w:suppressAutoHyphens w:val="0"/>
              <w:spacing w:after="0" w:line="240" w:lineRule="auto"/>
              <w:ind w:left="142" w:firstLine="0"/>
              <w:contextualSpacing/>
              <w:rPr>
                <w:rFonts w:cstheme="minorHAnsi"/>
                <w:sz w:val="24"/>
                <w:szCs w:val="24"/>
              </w:rPr>
            </w:pPr>
          </w:p>
        </w:tc>
        <w:tc>
          <w:tcPr>
            <w:tcW w:w="4214" w:type="pct"/>
            <w:vAlign w:val="center"/>
          </w:tcPr>
          <w:p w:rsidR="00E669BC" w:rsidRPr="00D45EFB" w:rsidRDefault="00013DB1" w:rsidP="00C17E86">
            <w:pPr>
              <w:rPr>
                <w:rFonts w:cstheme="minorHAnsi"/>
              </w:rPr>
            </w:pPr>
            <w:r>
              <w:rPr>
                <w:rFonts w:cstheme="minorHAnsi"/>
              </w:rPr>
              <w:t>Atık Tanımlanması, Atık nedir?, Atık Hiyerarşisi - Eğitim Konusu (Masa başı)</w:t>
            </w:r>
          </w:p>
        </w:tc>
      </w:tr>
      <w:tr w:rsidR="00E669BC" w:rsidRPr="00D45EFB" w:rsidTr="00F80437">
        <w:trPr>
          <w:trHeight w:hRule="exact" w:val="454"/>
          <w:jc w:val="center"/>
        </w:trPr>
        <w:tc>
          <w:tcPr>
            <w:tcW w:w="786" w:type="pct"/>
            <w:vAlign w:val="center"/>
          </w:tcPr>
          <w:p w:rsidR="00E669BC" w:rsidRPr="00D45EFB" w:rsidRDefault="00E669BC" w:rsidP="00C17E86">
            <w:pPr>
              <w:tabs>
                <w:tab w:val="left" w:pos="284"/>
              </w:tabs>
              <w:ind w:left="142"/>
              <w:rPr>
                <w:rFonts w:cstheme="minorHAnsi"/>
              </w:rPr>
            </w:pPr>
            <w:r>
              <w:rPr>
                <w:rFonts w:cstheme="minorHAnsi"/>
              </w:rPr>
              <w:t>2.</w:t>
            </w:r>
          </w:p>
        </w:tc>
        <w:tc>
          <w:tcPr>
            <w:tcW w:w="4214" w:type="pct"/>
            <w:vAlign w:val="center"/>
          </w:tcPr>
          <w:p w:rsidR="00E669BC" w:rsidRPr="00D45EFB" w:rsidRDefault="00013DB1" w:rsidP="00013DB1">
            <w:pPr>
              <w:rPr>
                <w:rFonts w:cstheme="minorHAnsi"/>
              </w:rPr>
            </w:pPr>
            <w:r>
              <w:rPr>
                <w:rFonts w:cstheme="minorHAnsi"/>
              </w:rPr>
              <w:t>Danışmanlar yardımıyla Atık Haritalandırılması -Saha Çalışması</w:t>
            </w:r>
          </w:p>
        </w:tc>
      </w:tr>
      <w:tr w:rsidR="00E669BC" w:rsidRPr="00D45EFB" w:rsidTr="00F80437">
        <w:trPr>
          <w:trHeight w:hRule="exact" w:val="454"/>
          <w:jc w:val="center"/>
        </w:trPr>
        <w:tc>
          <w:tcPr>
            <w:tcW w:w="786" w:type="pct"/>
            <w:vAlign w:val="center"/>
          </w:tcPr>
          <w:p w:rsidR="00E669BC" w:rsidRPr="00D45EFB" w:rsidRDefault="00E669BC" w:rsidP="00C17E86">
            <w:pPr>
              <w:tabs>
                <w:tab w:val="left" w:pos="284"/>
              </w:tabs>
              <w:ind w:left="142"/>
              <w:rPr>
                <w:rFonts w:cstheme="minorHAnsi"/>
              </w:rPr>
            </w:pPr>
            <w:r>
              <w:rPr>
                <w:rFonts w:cstheme="minorHAnsi"/>
              </w:rPr>
              <w:t>3.</w:t>
            </w:r>
          </w:p>
        </w:tc>
        <w:tc>
          <w:tcPr>
            <w:tcW w:w="4214" w:type="pct"/>
            <w:vAlign w:val="center"/>
          </w:tcPr>
          <w:p w:rsidR="00E669BC" w:rsidRPr="00D45EFB" w:rsidRDefault="00013DB1" w:rsidP="00C17E86">
            <w:pPr>
              <w:rPr>
                <w:rFonts w:cstheme="minorHAnsi"/>
              </w:rPr>
            </w:pPr>
            <w:r>
              <w:rPr>
                <w:rFonts w:cstheme="minorHAnsi"/>
              </w:rPr>
              <w:t>Kaynağında Azaltım Danışmanlığı- Saha Çalışması</w:t>
            </w:r>
          </w:p>
        </w:tc>
      </w:tr>
      <w:tr w:rsidR="00E669BC" w:rsidRPr="00D45EFB" w:rsidTr="00F80437">
        <w:trPr>
          <w:trHeight w:hRule="exact" w:val="454"/>
          <w:jc w:val="center"/>
        </w:trPr>
        <w:tc>
          <w:tcPr>
            <w:tcW w:w="786" w:type="pct"/>
            <w:vAlign w:val="center"/>
          </w:tcPr>
          <w:p w:rsidR="00E669BC" w:rsidRDefault="00013DB1" w:rsidP="00C17E86">
            <w:pPr>
              <w:tabs>
                <w:tab w:val="left" w:pos="284"/>
              </w:tabs>
              <w:ind w:left="142"/>
              <w:rPr>
                <w:rFonts w:cstheme="minorHAnsi"/>
              </w:rPr>
            </w:pPr>
            <w:r>
              <w:rPr>
                <w:rFonts w:cstheme="minorHAnsi"/>
              </w:rPr>
              <w:t>4.</w:t>
            </w:r>
          </w:p>
        </w:tc>
        <w:tc>
          <w:tcPr>
            <w:tcW w:w="4214" w:type="pct"/>
            <w:vAlign w:val="center"/>
          </w:tcPr>
          <w:p w:rsidR="00E669BC" w:rsidRPr="00D45EFB" w:rsidRDefault="00013DB1" w:rsidP="00C17E86">
            <w:pPr>
              <w:rPr>
                <w:rFonts w:cstheme="minorHAnsi"/>
              </w:rPr>
            </w:pPr>
            <w:r>
              <w:rPr>
                <w:rFonts w:cstheme="minorHAnsi"/>
              </w:rPr>
              <w:t>Atık Bertaraf önerileri, Yöntemlerinin Paylaşılması ve iyileştirilmesi- Uygulama</w:t>
            </w:r>
          </w:p>
        </w:tc>
      </w:tr>
      <w:tr w:rsidR="00E669BC" w:rsidRPr="00D45EFB" w:rsidTr="00F80437">
        <w:trPr>
          <w:trHeight w:hRule="exact" w:val="454"/>
          <w:jc w:val="center"/>
        </w:trPr>
        <w:tc>
          <w:tcPr>
            <w:tcW w:w="786" w:type="pct"/>
            <w:vAlign w:val="center"/>
          </w:tcPr>
          <w:p w:rsidR="00E669BC" w:rsidRPr="00013DB1" w:rsidRDefault="00013DB1" w:rsidP="00013DB1">
            <w:pPr>
              <w:tabs>
                <w:tab w:val="left" w:pos="284"/>
              </w:tabs>
              <w:ind w:left="142"/>
              <w:rPr>
                <w:rFonts w:cstheme="minorHAnsi"/>
              </w:rPr>
            </w:pPr>
            <w:r>
              <w:rPr>
                <w:rFonts w:cstheme="minorHAnsi"/>
              </w:rPr>
              <w:t>5.</w:t>
            </w:r>
          </w:p>
        </w:tc>
        <w:tc>
          <w:tcPr>
            <w:tcW w:w="4214" w:type="pct"/>
            <w:vAlign w:val="center"/>
          </w:tcPr>
          <w:p w:rsidR="00E669BC" w:rsidRPr="00D45EFB" w:rsidRDefault="00013DB1" w:rsidP="00C17E86">
            <w:pPr>
              <w:rPr>
                <w:rFonts w:cstheme="minorHAnsi"/>
              </w:rPr>
            </w:pPr>
            <w:r>
              <w:rPr>
                <w:rFonts w:cstheme="minorHAnsi"/>
              </w:rPr>
              <w:t>Eğitim Çıktılarının ve Danışmanlığın Genel Raporlanması- Sunulması</w:t>
            </w:r>
          </w:p>
        </w:tc>
      </w:tr>
    </w:tbl>
    <w:p w:rsidR="0079177B" w:rsidRPr="00032DB2" w:rsidRDefault="0079177B" w:rsidP="00F07BF4">
      <w:pPr>
        <w:jc w:val="both"/>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Danışmanlık kapsamında yapılacak işin detayları (saha çalışması, rapor hazırlanması, masa başı çalışma, literatür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dahil olduğu unutulmamalıdır. </w:t>
      </w:r>
    </w:p>
    <w:p w:rsidR="007C2C3D" w:rsidRDefault="007C2C3D" w:rsidP="008C3C6D">
      <w:pPr>
        <w:suppressAutoHyphens w:val="0"/>
        <w:spacing w:after="200" w:line="276" w:lineRule="auto"/>
        <w:contextualSpacing/>
        <w:jc w:val="both"/>
        <w:rPr>
          <w:rFonts w:eastAsia="Calibri"/>
          <w:sz w:val="22"/>
          <w:szCs w:val="22"/>
          <w:lang w:eastAsia="en-US"/>
        </w:rPr>
      </w:pPr>
    </w:p>
    <w:p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ekipman (deney setleri, renkli kartlar, renkli kalem, yapıştırıcı vb.), yüklenici tarafından sağlanacaktır. </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 ve danışmanlık için: yüklenici, Ajans görünürlüğü gözetilerek çekilmiş fotoğrafları sözleşmede belirtilen evraklarla birlikte faaliyet bitiminde Ajansa sunmak zorundadır. Yüklenici, </w:t>
      </w:r>
      <w:r w:rsidRPr="00B7692D">
        <w:rPr>
          <w:rFonts w:eastAsia="Calibri"/>
          <w:bCs/>
          <w:lang w:eastAsia="en-US"/>
        </w:rPr>
        <w:lastRenderedPageBreak/>
        <w:t>eğitimde kullanacağı tüm materyalleri hazırlamak ve eğitim öncesinde Yararlanıcıya iletmekle sorumludur. Ajansın bu konuda hiçbir yükümlülüğü yoktur.</w:t>
      </w:r>
    </w:p>
    <w:p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CC08A6" w:rsidRPr="00CC08A6" w:rsidRDefault="00CC08A6" w:rsidP="00CC08A6">
      <w:pPr>
        <w:suppressAutoHyphens w:val="0"/>
        <w:jc w:val="both"/>
        <w:rPr>
          <w:rFonts w:eastAsia="Calibri"/>
          <w:bCs/>
          <w:sz w:val="4"/>
          <w:lang w:eastAsia="en-US"/>
        </w:rPr>
      </w:pP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rsidR="008025B4" w:rsidRPr="00D7558C" w:rsidRDefault="008025B4">
      <w:pPr>
        <w:suppressAutoHyphens w:val="0"/>
        <w:spacing w:before="120" w:after="120"/>
        <w:jc w:val="both"/>
        <w:rPr>
          <w:rFonts w:eastAsia="Calibri"/>
          <w:bCs/>
          <w:lang w:eastAsia="en-US"/>
        </w:rPr>
      </w:pPr>
    </w:p>
    <w:sectPr w:rsidR="008025B4" w:rsidRPr="00D7558C"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88B" w:rsidRDefault="00F1688B">
      <w:r>
        <w:separator/>
      </w:r>
    </w:p>
  </w:endnote>
  <w:endnote w:type="continuationSeparator" w:id="0">
    <w:p w:rsidR="00F1688B" w:rsidRDefault="00F1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rsidR="00CF02B9" w:rsidRDefault="00CF02B9">
        <w:pPr>
          <w:pStyle w:val="AltBilgi"/>
          <w:jc w:val="center"/>
        </w:pPr>
        <w:r>
          <w:fldChar w:fldCharType="begin"/>
        </w:r>
        <w:r>
          <w:instrText>PAGE   \* MERGEFORMAT</w:instrText>
        </w:r>
        <w:r>
          <w:fldChar w:fldCharType="separate"/>
        </w:r>
        <w:r w:rsidR="002440D0">
          <w:rPr>
            <w:noProof/>
          </w:rPr>
          <w:t>2</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88B" w:rsidRDefault="00F1688B">
      <w:r>
        <w:separator/>
      </w:r>
    </w:p>
  </w:footnote>
  <w:footnote w:type="continuationSeparator" w:id="0">
    <w:p w:rsidR="00F1688B" w:rsidRDefault="00F1688B">
      <w:r>
        <w:continuationSeparator/>
      </w:r>
    </w:p>
  </w:footnote>
  <w:footnote w:id="1">
    <w:p w:rsidR="008C3C6D" w:rsidRPr="0079177B" w:rsidRDefault="008C3C6D">
      <w:pPr>
        <w:pStyle w:val="DipnotMetni"/>
        <w:rPr>
          <w:lang w:val="tr-TR"/>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38" w:rsidRDefault="00CF02B9" w:rsidP="00B43E38">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1" name="Resim 1"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w:t>
    </w:r>
    <w:r w:rsidR="00B43E38">
      <w:rPr>
        <w:rFonts w:ascii="Arial" w:hAnsi="Arial" w:cs="Arial"/>
        <w:szCs w:val="20"/>
      </w:rPr>
      <w:t xml:space="preserve">YILI İMALAT SANAYİ İŞLETMELERİNE YÖNELİK </w:t>
    </w:r>
  </w:p>
  <w:p w:rsidR="00B43E38" w:rsidRDefault="00B43E38" w:rsidP="00B43E38">
    <w:pPr>
      <w:pStyle w:val="HeaderOdd"/>
      <w:rPr>
        <w:rFonts w:ascii="Arial" w:hAnsi="Arial" w:cs="Arial"/>
        <w:szCs w:val="20"/>
      </w:rPr>
    </w:pPr>
    <w:r>
      <w:rPr>
        <w:rFonts w:ascii="Arial" w:hAnsi="Arial" w:cs="Arial"/>
        <w:szCs w:val="20"/>
      </w:rPr>
      <w:t>YÖNETİM DANIŞMANLIĞI TEKNİK DESTEK PROGRAMI</w:t>
    </w:r>
  </w:p>
  <w:p w:rsidR="00B43E38" w:rsidRDefault="00B43E38" w:rsidP="00B43E38">
    <w:pPr>
      <w:pStyle w:val="HeaderOdd"/>
      <w:rPr>
        <w:rFonts w:ascii="Arial" w:hAnsi="Arial" w:cs="Arial"/>
        <w:szCs w:val="20"/>
      </w:rPr>
    </w:pPr>
    <w:r>
      <w:rPr>
        <w:rFonts w:ascii="Arial" w:hAnsi="Arial" w:cs="Arial"/>
        <w:szCs w:val="20"/>
      </w:rPr>
      <w:t>EK-E TEKNİK ŞARTNAME</w:t>
    </w:r>
  </w:p>
  <w:p w:rsidR="00FC1745" w:rsidRDefault="00FC1745" w:rsidP="00B43E38">
    <w:pPr>
      <w:pStyle w:val="HeaderOdd"/>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388C1692"/>
    <w:multiLevelType w:val="hybridMultilevel"/>
    <w:tmpl w:val="D99E24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5"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2"/>
  </w:num>
  <w:num w:numId="4">
    <w:abstractNumId w:val="12"/>
  </w:num>
  <w:num w:numId="5">
    <w:abstractNumId w:val="14"/>
  </w:num>
  <w:num w:numId="6">
    <w:abstractNumId w:val="16"/>
  </w:num>
  <w:num w:numId="7">
    <w:abstractNumId w:val="7"/>
  </w:num>
  <w:num w:numId="8">
    <w:abstractNumId w:val="26"/>
  </w:num>
  <w:num w:numId="9">
    <w:abstractNumId w:val="18"/>
  </w:num>
  <w:num w:numId="10">
    <w:abstractNumId w:val="5"/>
  </w:num>
  <w:num w:numId="11">
    <w:abstractNumId w:val="19"/>
  </w:num>
  <w:num w:numId="12">
    <w:abstractNumId w:val="23"/>
  </w:num>
  <w:num w:numId="13">
    <w:abstractNumId w:val="4"/>
  </w:num>
  <w:num w:numId="14">
    <w:abstractNumId w:val="22"/>
  </w:num>
  <w:num w:numId="15">
    <w:abstractNumId w:val="21"/>
  </w:num>
  <w:num w:numId="16">
    <w:abstractNumId w:val="20"/>
  </w:num>
  <w:num w:numId="17">
    <w:abstractNumId w:val="9"/>
  </w:num>
  <w:num w:numId="18">
    <w:abstractNumId w:val="8"/>
  </w:num>
  <w:num w:numId="19">
    <w:abstractNumId w:val="6"/>
  </w:num>
  <w:num w:numId="20">
    <w:abstractNumId w:val="28"/>
  </w:num>
  <w:num w:numId="21">
    <w:abstractNumId w:val="25"/>
  </w:num>
  <w:num w:numId="22">
    <w:abstractNumId w:val="24"/>
  </w:num>
  <w:num w:numId="23">
    <w:abstractNumId w:val="3"/>
  </w:num>
  <w:num w:numId="24">
    <w:abstractNumId w:val="29"/>
  </w:num>
  <w:num w:numId="25">
    <w:abstractNumId w:val="27"/>
  </w:num>
  <w:num w:numId="26">
    <w:abstractNumId w:val="15"/>
  </w:num>
  <w:num w:numId="27">
    <w:abstractNumId w:val="1"/>
  </w:num>
  <w:num w:numId="28">
    <w:abstractNumId w:val="10"/>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DF"/>
    <w:rsid w:val="0000276F"/>
    <w:rsid w:val="0000310E"/>
    <w:rsid w:val="00006DEF"/>
    <w:rsid w:val="00007D93"/>
    <w:rsid w:val="000123E8"/>
    <w:rsid w:val="00013DB1"/>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60FE1"/>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741"/>
    <w:rsid w:val="001705A0"/>
    <w:rsid w:val="00171CE1"/>
    <w:rsid w:val="0017248E"/>
    <w:rsid w:val="00173046"/>
    <w:rsid w:val="00173996"/>
    <w:rsid w:val="001745E2"/>
    <w:rsid w:val="00177084"/>
    <w:rsid w:val="00180017"/>
    <w:rsid w:val="00182CC3"/>
    <w:rsid w:val="00185C69"/>
    <w:rsid w:val="001864AA"/>
    <w:rsid w:val="00186B72"/>
    <w:rsid w:val="00190431"/>
    <w:rsid w:val="001907E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3DEC"/>
    <w:rsid w:val="001D5FF2"/>
    <w:rsid w:val="001D6126"/>
    <w:rsid w:val="001D67F3"/>
    <w:rsid w:val="001D684F"/>
    <w:rsid w:val="001D73B7"/>
    <w:rsid w:val="001D7924"/>
    <w:rsid w:val="001E018C"/>
    <w:rsid w:val="001E391C"/>
    <w:rsid w:val="001E6479"/>
    <w:rsid w:val="001E696A"/>
    <w:rsid w:val="001F283F"/>
    <w:rsid w:val="001F3351"/>
    <w:rsid w:val="001F34C5"/>
    <w:rsid w:val="001F388C"/>
    <w:rsid w:val="001F6EB7"/>
    <w:rsid w:val="001F7D54"/>
    <w:rsid w:val="002001EB"/>
    <w:rsid w:val="00202267"/>
    <w:rsid w:val="002113C2"/>
    <w:rsid w:val="00221597"/>
    <w:rsid w:val="00221C90"/>
    <w:rsid w:val="00226937"/>
    <w:rsid w:val="002274E9"/>
    <w:rsid w:val="002319C7"/>
    <w:rsid w:val="00233F71"/>
    <w:rsid w:val="00234D07"/>
    <w:rsid w:val="00234DCD"/>
    <w:rsid w:val="002351BE"/>
    <w:rsid w:val="00237575"/>
    <w:rsid w:val="00237602"/>
    <w:rsid w:val="002401D9"/>
    <w:rsid w:val="00240B0E"/>
    <w:rsid w:val="002440D0"/>
    <w:rsid w:val="0024615C"/>
    <w:rsid w:val="002466AE"/>
    <w:rsid w:val="002467B3"/>
    <w:rsid w:val="002471A7"/>
    <w:rsid w:val="00250E30"/>
    <w:rsid w:val="00253A0A"/>
    <w:rsid w:val="00256DAF"/>
    <w:rsid w:val="0026082C"/>
    <w:rsid w:val="00261A3D"/>
    <w:rsid w:val="0026367B"/>
    <w:rsid w:val="00264440"/>
    <w:rsid w:val="0026550C"/>
    <w:rsid w:val="00266280"/>
    <w:rsid w:val="0026681A"/>
    <w:rsid w:val="0027081D"/>
    <w:rsid w:val="00273089"/>
    <w:rsid w:val="00274E31"/>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B6909"/>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8D"/>
    <w:rsid w:val="003F23E9"/>
    <w:rsid w:val="003F297E"/>
    <w:rsid w:val="003F2E6A"/>
    <w:rsid w:val="003F3004"/>
    <w:rsid w:val="003F4C0E"/>
    <w:rsid w:val="003F5BDE"/>
    <w:rsid w:val="003F755E"/>
    <w:rsid w:val="00400FE6"/>
    <w:rsid w:val="0040154A"/>
    <w:rsid w:val="00401F3F"/>
    <w:rsid w:val="00402622"/>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953"/>
    <w:rsid w:val="00484972"/>
    <w:rsid w:val="00484ED5"/>
    <w:rsid w:val="00485DE0"/>
    <w:rsid w:val="00487F06"/>
    <w:rsid w:val="004919C0"/>
    <w:rsid w:val="00491D69"/>
    <w:rsid w:val="00497787"/>
    <w:rsid w:val="004A0291"/>
    <w:rsid w:val="004A0447"/>
    <w:rsid w:val="004A1191"/>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C7099"/>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50DE"/>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08B1"/>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1F80"/>
    <w:rsid w:val="00662AAC"/>
    <w:rsid w:val="00662DC6"/>
    <w:rsid w:val="00662E02"/>
    <w:rsid w:val="00664F7B"/>
    <w:rsid w:val="00670A52"/>
    <w:rsid w:val="006729E2"/>
    <w:rsid w:val="00672A1D"/>
    <w:rsid w:val="0067784A"/>
    <w:rsid w:val="006811AB"/>
    <w:rsid w:val="006813A6"/>
    <w:rsid w:val="006855BE"/>
    <w:rsid w:val="0068580F"/>
    <w:rsid w:val="006925FF"/>
    <w:rsid w:val="0069321E"/>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0E0D"/>
    <w:rsid w:val="006D252B"/>
    <w:rsid w:val="006D3567"/>
    <w:rsid w:val="006D3B3D"/>
    <w:rsid w:val="006D3CFA"/>
    <w:rsid w:val="006D4E2C"/>
    <w:rsid w:val="006D50D0"/>
    <w:rsid w:val="006D7E4D"/>
    <w:rsid w:val="006E078E"/>
    <w:rsid w:val="006E4194"/>
    <w:rsid w:val="006E442B"/>
    <w:rsid w:val="006E5265"/>
    <w:rsid w:val="006F2C63"/>
    <w:rsid w:val="006F32F5"/>
    <w:rsid w:val="006F3BDA"/>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215D"/>
    <w:rsid w:val="0076638F"/>
    <w:rsid w:val="007663A5"/>
    <w:rsid w:val="00766583"/>
    <w:rsid w:val="0076687C"/>
    <w:rsid w:val="007711A1"/>
    <w:rsid w:val="00771855"/>
    <w:rsid w:val="00771B5A"/>
    <w:rsid w:val="007724D6"/>
    <w:rsid w:val="007734D1"/>
    <w:rsid w:val="00773B6D"/>
    <w:rsid w:val="00777644"/>
    <w:rsid w:val="007778E2"/>
    <w:rsid w:val="007778FC"/>
    <w:rsid w:val="00777EAB"/>
    <w:rsid w:val="00781ACD"/>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2C3D"/>
    <w:rsid w:val="007C3179"/>
    <w:rsid w:val="007C5EC9"/>
    <w:rsid w:val="007D18BE"/>
    <w:rsid w:val="007D5374"/>
    <w:rsid w:val="007D54F1"/>
    <w:rsid w:val="007E0264"/>
    <w:rsid w:val="007E0E17"/>
    <w:rsid w:val="007E5038"/>
    <w:rsid w:val="007F01F0"/>
    <w:rsid w:val="007F0A89"/>
    <w:rsid w:val="007F0AE3"/>
    <w:rsid w:val="007F0E08"/>
    <w:rsid w:val="007F1B5A"/>
    <w:rsid w:val="007F375C"/>
    <w:rsid w:val="007F3F7A"/>
    <w:rsid w:val="007F5020"/>
    <w:rsid w:val="007F50C2"/>
    <w:rsid w:val="007F6C8E"/>
    <w:rsid w:val="007F6E9C"/>
    <w:rsid w:val="008025B4"/>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7BD3"/>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6BCC"/>
    <w:rsid w:val="008A6F99"/>
    <w:rsid w:val="008A73B9"/>
    <w:rsid w:val="008C045E"/>
    <w:rsid w:val="008C32FC"/>
    <w:rsid w:val="008C3C6D"/>
    <w:rsid w:val="008C3F6F"/>
    <w:rsid w:val="008C5466"/>
    <w:rsid w:val="008C6C38"/>
    <w:rsid w:val="008C74C2"/>
    <w:rsid w:val="008C7763"/>
    <w:rsid w:val="008D0A17"/>
    <w:rsid w:val="008D1D37"/>
    <w:rsid w:val="008D1E69"/>
    <w:rsid w:val="008D4777"/>
    <w:rsid w:val="008D583D"/>
    <w:rsid w:val="008E2F7D"/>
    <w:rsid w:val="008F106D"/>
    <w:rsid w:val="008F4070"/>
    <w:rsid w:val="008F54CD"/>
    <w:rsid w:val="008F56D1"/>
    <w:rsid w:val="008F5DEF"/>
    <w:rsid w:val="008F5FC9"/>
    <w:rsid w:val="008F6A64"/>
    <w:rsid w:val="009009C3"/>
    <w:rsid w:val="009024C1"/>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F69"/>
    <w:rsid w:val="0092551B"/>
    <w:rsid w:val="009257EB"/>
    <w:rsid w:val="00930E2D"/>
    <w:rsid w:val="009347E6"/>
    <w:rsid w:val="009371F8"/>
    <w:rsid w:val="00941837"/>
    <w:rsid w:val="00942892"/>
    <w:rsid w:val="00946F06"/>
    <w:rsid w:val="0095193E"/>
    <w:rsid w:val="009520B0"/>
    <w:rsid w:val="00952A6C"/>
    <w:rsid w:val="00952B57"/>
    <w:rsid w:val="00953414"/>
    <w:rsid w:val="00953E93"/>
    <w:rsid w:val="0095442A"/>
    <w:rsid w:val="009565F7"/>
    <w:rsid w:val="0096189E"/>
    <w:rsid w:val="0096256D"/>
    <w:rsid w:val="00964B37"/>
    <w:rsid w:val="0096711E"/>
    <w:rsid w:val="00971E55"/>
    <w:rsid w:val="00973FF6"/>
    <w:rsid w:val="00977455"/>
    <w:rsid w:val="00980C90"/>
    <w:rsid w:val="00981AA0"/>
    <w:rsid w:val="0098606A"/>
    <w:rsid w:val="00986BF4"/>
    <w:rsid w:val="00987792"/>
    <w:rsid w:val="009901A3"/>
    <w:rsid w:val="009902B6"/>
    <w:rsid w:val="00990952"/>
    <w:rsid w:val="00990B4D"/>
    <w:rsid w:val="00991A75"/>
    <w:rsid w:val="0099270F"/>
    <w:rsid w:val="009928EE"/>
    <w:rsid w:val="00995248"/>
    <w:rsid w:val="009955D9"/>
    <w:rsid w:val="009957E2"/>
    <w:rsid w:val="00996459"/>
    <w:rsid w:val="009971D7"/>
    <w:rsid w:val="009A3523"/>
    <w:rsid w:val="009A436C"/>
    <w:rsid w:val="009A6266"/>
    <w:rsid w:val="009B0027"/>
    <w:rsid w:val="009B2D0C"/>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E64"/>
    <w:rsid w:val="00A01C1D"/>
    <w:rsid w:val="00A0245D"/>
    <w:rsid w:val="00A02F13"/>
    <w:rsid w:val="00A035CA"/>
    <w:rsid w:val="00A04051"/>
    <w:rsid w:val="00A071BF"/>
    <w:rsid w:val="00A07F47"/>
    <w:rsid w:val="00A112B7"/>
    <w:rsid w:val="00A11683"/>
    <w:rsid w:val="00A13B3C"/>
    <w:rsid w:val="00A1501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3014"/>
    <w:rsid w:val="00AA5E09"/>
    <w:rsid w:val="00AA6E1D"/>
    <w:rsid w:val="00AB3A6E"/>
    <w:rsid w:val="00AB4642"/>
    <w:rsid w:val="00AB797B"/>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DF1"/>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3E38"/>
    <w:rsid w:val="00B44702"/>
    <w:rsid w:val="00B45296"/>
    <w:rsid w:val="00B5080E"/>
    <w:rsid w:val="00B50BCE"/>
    <w:rsid w:val="00B5217C"/>
    <w:rsid w:val="00B5260B"/>
    <w:rsid w:val="00B54495"/>
    <w:rsid w:val="00B546A8"/>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5CD6"/>
    <w:rsid w:val="00B97768"/>
    <w:rsid w:val="00BA1865"/>
    <w:rsid w:val="00BA3F21"/>
    <w:rsid w:val="00BB2749"/>
    <w:rsid w:val="00BB28CB"/>
    <w:rsid w:val="00BB3F0A"/>
    <w:rsid w:val="00BB7FDE"/>
    <w:rsid w:val="00BC29D6"/>
    <w:rsid w:val="00BC3483"/>
    <w:rsid w:val="00BC4C2F"/>
    <w:rsid w:val="00BC57B2"/>
    <w:rsid w:val="00BD1D88"/>
    <w:rsid w:val="00BD646F"/>
    <w:rsid w:val="00BD6724"/>
    <w:rsid w:val="00BE49AE"/>
    <w:rsid w:val="00BE5D4A"/>
    <w:rsid w:val="00BE68C7"/>
    <w:rsid w:val="00BE7B1A"/>
    <w:rsid w:val="00BF2275"/>
    <w:rsid w:val="00BF3B37"/>
    <w:rsid w:val="00BF3E6C"/>
    <w:rsid w:val="00BF698C"/>
    <w:rsid w:val="00C02324"/>
    <w:rsid w:val="00C04114"/>
    <w:rsid w:val="00C04318"/>
    <w:rsid w:val="00C04F56"/>
    <w:rsid w:val="00C10E85"/>
    <w:rsid w:val="00C15211"/>
    <w:rsid w:val="00C16746"/>
    <w:rsid w:val="00C21D26"/>
    <w:rsid w:val="00C25D63"/>
    <w:rsid w:val="00C27815"/>
    <w:rsid w:val="00C301E6"/>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6F9C"/>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BB6"/>
    <w:rsid w:val="00D00C7F"/>
    <w:rsid w:val="00D01EF8"/>
    <w:rsid w:val="00D048A8"/>
    <w:rsid w:val="00D1077B"/>
    <w:rsid w:val="00D11009"/>
    <w:rsid w:val="00D113C9"/>
    <w:rsid w:val="00D1468D"/>
    <w:rsid w:val="00D152C4"/>
    <w:rsid w:val="00D16175"/>
    <w:rsid w:val="00D16F3D"/>
    <w:rsid w:val="00D21809"/>
    <w:rsid w:val="00D222C9"/>
    <w:rsid w:val="00D228F5"/>
    <w:rsid w:val="00D229E8"/>
    <w:rsid w:val="00D26A66"/>
    <w:rsid w:val="00D26C66"/>
    <w:rsid w:val="00D26FFF"/>
    <w:rsid w:val="00D27B24"/>
    <w:rsid w:val="00D30176"/>
    <w:rsid w:val="00D3047D"/>
    <w:rsid w:val="00D31B3F"/>
    <w:rsid w:val="00D32B57"/>
    <w:rsid w:val="00D3418B"/>
    <w:rsid w:val="00D34767"/>
    <w:rsid w:val="00D36134"/>
    <w:rsid w:val="00D36D1E"/>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21B6"/>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BE8"/>
    <w:rsid w:val="00E62EB3"/>
    <w:rsid w:val="00E669BC"/>
    <w:rsid w:val="00E675E0"/>
    <w:rsid w:val="00E7016B"/>
    <w:rsid w:val="00E70D07"/>
    <w:rsid w:val="00E71519"/>
    <w:rsid w:val="00E71C6B"/>
    <w:rsid w:val="00E72FBD"/>
    <w:rsid w:val="00E73AF8"/>
    <w:rsid w:val="00E73BB3"/>
    <w:rsid w:val="00E74599"/>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1688B"/>
    <w:rsid w:val="00F1763E"/>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37"/>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0124EA"/>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 w:type="paragraph" w:styleId="Dzeltme">
    <w:name w:val="Revision"/>
    <w:hidden/>
    <w:uiPriority w:val="99"/>
    <w:semiHidden/>
    <w:rsid w:val="007F0AE3"/>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510795769">
      <w:bodyDiv w:val="1"/>
      <w:marLeft w:val="0"/>
      <w:marRight w:val="0"/>
      <w:marTop w:val="0"/>
      <w:marBottom w:val="0"/>
      <w:divBdr>
        <w:top w:val="none" w:sz="0" w:space="0" w:color="auto"/>
        <w:left w:val="none" w:sz="0" w:space="0" w:color="auto"/>
        <w:bottom w:val="none" w:sz="0" w:space="0" w:color="auto"/>
        <w:right w:val="none" w:sz="0" w:space="0" w:color="auto"/>
      </w:divBdr>
    </w:div>
    <w:div w:id="575241968">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1294A-975C-4573-A882-AF45CFB84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1</Pages>
  <Words>1271</Words>
  <Characters>7251</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149</cp:revision>
  <cp:lastPrinted>2014-03-31T05:48:00Z</cp:lastPrinted>
  <dcterms:created xsi:type="dcterms:W3CDTF">2016-06-02T11:13:00Z</dcterms:created>
  <dcterms:modified xsi:type="dcterms:W3CDTF">2024-01-05T08:27:00Z</dcterms:modified>
</cp:coreProperties>
</file>